
<file path=[Content_Types].xml><?xml version="1.0" encoding="utf-8"?>
<Types xmlns="http://schemas.openxmlformats.org/package/2006/content-types">
  <Default Extension="jpg" ContentType="image/jpeg"/>
  <Default Extension="rels" ContentType="application/vnd.openxmlformats-package.relationships+xml"/>
  <Default Extension="tif" ContentType="image/tiff"/>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drawingml.chart+xml" PartName="/word/charts/chart1.xml"/>
  <Override ContentType="application/vnd.openxmlformats-officedocument.drawingml.chart+xml" PartName="/word/charts/chart10.xml"/>
  <Override ContentType="application/vnd.openxmlformats-officedocument.drawingml.chart+xml" PartName="/word/charts/chart11.xml"/>
  <Override ContentType="application/vnd.openxmlformats-officedocument.drawingml.chart+xml" PartName="/word/charts/chart12.xml"/>
  <Override ContentType="application/vnd.openxmlformats-officedocument.drawingml.chart+xml" PartName="/word/charts/chart13.xml"/>
  <Override ContentType="application/vnd.openxmlformats-officedocument.drawingml.chart+xml" PartName="/word/charts/chart2.xml"/>
  <Override ContentType="application/vnd.openxmlformats-officedocument.drawingml.chart+xml" PartName="/word/charts/chart3.xml"/>
  <Override ContentType="application/vnd.openxmlformats-officedocument.drawingml.chart+xml" PartName="/word/charts/chart4.xml"/>
  <Override ContentType="application/vnd.openxmlformats-officedocument.drawingml.chart+xml" PartName="/word/charts/chart5.xml"/>
  <Override ContentType="application/vnd.openxmlformats-officedocument.drawingml.chart+xml" PartName="/word/charts/chart6.xml"/>
  <Override ContentType="application/vnd.openxmlformats-officedocument.drawingml.chart+xml" PartName="/word/charts/chart7.xml"/>
  <Override ContentType="application/vnd.openxmlformats-officedocument.drawingml.chart+xml" PartName="/word/charts/chart8.xml"/>
  <Override ContentType="application/vnd.openxmlformats-officedocument.drawingml.chart+xml" PartName="/word/charts/chart9.xml"/>
  <Override ContentType="application/vnd.ms-office.chartcolorstyle+xml" PartName="/word/charts/colors1.xml"/>
  <Override ContentType="application/vnd.ms-office.chartcolorstyle+xml" PartName="/word/charts/colors10.xml"/>
  <Override ContentType="application/vnd.ms-office.chartcolorstyle+xml" PartName="/word/charts/colors11.xml"/>
  <Override ContentType="application/vnd.ms-office.chartcolorstyle+xml" PartName="/word/charts/colors2.xml"/>
  <Override ContentType="application/vnd.ms-office.chartcolorstyle+xml" PartName="/word/charts/colors3.xml"/>
  <Override ContentType="application/vnd.ms-office.chartcolorstyle+xml" PartName="/word/charts/colors4.xml"/>
  <Override ContentType="application/vnd.ms-office.chartcolorstyle+xml" PartName="/word/charts/colors5.xml"/>
  <Override ContentType="application/vnd.ms-office.chartcolorstyle+xml" PartName="/word/charts/colors6.xml"/>
  <Override ContentType="application/vnd.ms-office.chartcolorstyle+xml" PartName="/word/charts/colors7.xml"/>
  <Override ContentType="application/vnd.ms-office.chartcolorstyle+xml" PartName="/word/charts/colors8.xml"/>
  <Override ContentType="application/vnd.ms-office.chartcolorstyle+xml" PartName="/word/charts/colors9.xml"/>
  <Override ContentType="application/vnd.ms-office.chartstyle+xml" PartName="/word/charts/style1.xml"/>
  <Override ContentType="application/vnd.ms-office.chartstyle+xml" PartName="/word/charts/style10.xml"/>
  <Override ContentType="application/vnd.ms-office.chartstyle+xml" PartName="/word/charts/style11.xml"/>
  <Override ContentType="application/vnd.ms-office.chartstyle+xml" PartName="/word/charts/style2.xml"/>
  <Override ContentType="application/vnd.ms-office.chartstyle+xml" PartName="/word/charts/style3.xml"/>
  <Override ContentType="application/vnd.ms-office.chartstyle+xml" PartName="/word/charts/style4.xml"/>
  <Override ContentType="application/vnd.ms-office.chartstyle+xml" PartName="/word/charts/style5.xml"/>
  <Override ContentType="application/vnd.ms-office.chartstyle+xml" PartName="/word/charts/style6.xml"/>
  <Override ContentType="application/vnd.ms-office.chartstyle+xml" PartName="/word/charts/style7.xml"/>
  <Override ContentType="application/vnd.ms-office.chartstyle+xml" PartName="/word/charts/style8.xml"/>
  <Override ContentType="application/vnd.ms-office.chartstyle+xml" PartName="/word/charts/style9.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10.xml"/>
  <Override ContentType="application/vnd.openxmlformats-officedocument.wordprocessingml.header+xml" PartName="/word/header11.xml"/>
  <Override ContentType="application/vnd.openxmlformats-officedocument.wordprocessingml.header+xml" PartName="/word/header12.xml"/>
  <Override ContentType="application/vnd.openxmlformats-officedocument.wordprocessingml.header+xml" PartName="/word/header13.xml"/>
  <Override ContentType="application/vnd.openxmlformats-officedocument.wordprocessingml.header+xml" PartName="/word/header14.xml"/>
  <Override ContentType="application/vnd.openxmlformats-officedocument.wordprocessingml.header+xml" PartName="/word/header15.xml"/>
  <Override ContentType="application/vnd.openxmlformats-officedocument.wordprocessingml.header+xml" PartName="/word/header16.xml"/>
  <Override ContentType="application/vnd.openxmlformats-officedocument.wordprocessingml.header+xml" PartName="/word/header17.xml"/>
  <Override ContentType="application/vnd.openxmlformats-officedocument.wordprocessingml.header+xml" PartName="/word/header18.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themeOverride+xml" PartName="/word/theme/themeOverride1.xml"/>
  <Override ContentType="application/vnd.openxmlformats-officedocument.themeOverride+xml" PartName="/word/theme/themeOverride2.xml"/>
  <Override ContentType="application/vnd.openxmlformats-officedocument.wordprocessingml.webSettings+xml" PartName="/word/webSettings.xml"/>
</Types>
</file>

<file path=_rels/.rels><?xml version="1.0" encoding="UTF-8"?>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ps="http://schemas.microsoft.com/office/word/2010/wordprocessingShape" xmlns:w14="http://schemas.microsoft.com/office/word/2010/wordml" xmlns:w15="http://schemas.microsoft.com/office/word/2012/wordml" mc:Ignorable="w14 w15 wp14">
  <w:body>
    <!-- Modified by docx4j 8.2.0 (Apache licensed) using ECLIPSELINK_MOXy JAXB in Oracle Java 1.8.0_161 on Linux -->
    <w:bookmarkStart w:id="0" w:name="_GoBack"/>
    <w:bookmarkEnd w:id="0"/>
    <w:p w:rsidR="00B52D7E" w:rsidRDefault="00B52D7E" w14:paraId="373FE52A" w14:textId="77777777">
      <w:pPr>
        <w:sectPr w:rsidR="00B52D7E" w:rsidSect="00CA57B7">
          <w:headerReference r:id="rId8" w:type="even"/>
          <w:headerReference r:id="rId9" w:type="default"/>
          <w:footerReference r:id="rId10" w:type="even"/>
          <w:footerReference r:id="rId11" w:type="default"/>
          <w:headerReference r:id="rId12" w:type="first"/>
          <w:footerReference r:id="rId13" w:type="first"/>
          <w:pgSz w:w="11900" w:h="16840"/>
          <w:pgMar w:top="1276" w:right="1134" w:bottom="851" w:left="1134" w:header="708" w:footer="708" w:gutter="0"/>
          <w:cols w:space="708"/>
          <w:titlePg/>
          <w:docGrid w:linePitch="360"/>
        </w:sectPr>
      </w:pPr>
      <w:r>
        <w:rPr>
          <w:noProof/>
          <w:lang w:eastAsia="en-AU"/>
        </w:rPr>
        <mc:AlternateContent>
          <mc:Choice Requires="wps">
            <w:drawing>
              <wp:anchor distT="0" distB="0" distL="114300" distR="114300" simplePos="false" relativeHeight="251659264" behindDoc="false" locked="false" layoutInCell="true" allowOverlap="true" wp14:anchorId="09A8487F" wp14:editId="17F1EF01">
                <wp:simplePos x="0" y="0"/>
                <wp:positionH relativeFrom="column">
                  <wp:posOffset>-505460</wp:posOffset>
                </wp:positionH>
                <wp:positionV relativeFrom="paragraph">
                  <wp:posOffset>637540</wp:posOffset>
                </wp:positionV>
                <wp:extent cx="4869180" cy="1838960"/>
                <wp:effectExtent l="0" t="0" r="7620" b="8890"/>
                <wp:wrapSquare wrapText="bothSides"/>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3" name="Text Box 3"/>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microsoft.com/office/word/2010/wordprocessingShape">
                    <wps:wsp>
                      <wps:cNvSpPr txBox="true"/>
                      <wps:spPr>
                        <a:xfrm>
                          <a:off x="0" y="0"/>
                          <a:ext cx="4869180" cy="1838960"/>
                        </a:xfrm>
                        <a:prstGeom prst="rect">
                          <a:avLst/>
                        </a:prstGeom>
                        <a:noFill/>
                        <a:ln>
                          <a:noFill/>
                        </a:ln>
                        <a:effectLst/>
                        <a:extLst>
                          <a:ext uri="{C572A759-6A51-4108-AA02-DFA0A04FC94B}">
                            <ma14:wrappingTextBoxFlag xmlns="" xmlns:cx6="http://schemas.microsoft.com/office/drawing/2016/5/12/chartex" xmlns:cx5="http://schemas.microsoft.com/office/drawing/2016/5/11/chartex" xmlns:cx8="http://schemas.microsoft.com/office/drawing/2016/5/14/chartex" xmlns:mo="http://schemas.microsoft.com/office/mac/office/2008/main" xmlns:cx7="http://schemas.microsoft.com/office/drawing/2016/5/13/chartex" xmlns:ma14="http://schemas.microsoft.com/office/mac/drawingml/2011/main" xmlns:aink="http://schemas.microsoft.com/office/drawing/2016/ink" xmlns:mv="urn:schemas-microsoft-com:mac:vml" xmlns:w16se="http://schemas.microsoft.com/office/word/2015/wordml/symex" xmlns:o="urn:schemas-microsoft-com:office:office" xmlns:am3d="http://schemas.microsoft.com/office/drawing/2017/model3d" xmlns:cx="http://schemas.microsoft.com/office/drawing/2014/chartex" xmlns:v="urn:schemas-microsoft-com:vml" xmlns:w10="urn:schemas-microsoft-com:office:word" xmlns:cx2="http://schemas.microsoft.com/office/drawing/2015/10/21/chartex" xmlns:cx1="http://schemas.microsoft.com/office/drawing/2015/9/8/chartex" xmlns:cx4="http://schemas.microsoft.com/office/drawing/2016/5/10/chartex" xmlns:cx3="http://schemas.microsoft.com/office/drawing/2016/5/9/chartex" xmlns:w16cid="http://schemas.microsoft.com/office/word/2016/wordml/cid"/>
                          </a:ext>
                        </a:extLst>
                      </wps:spPr>
                      <wps:style>
                        <a:lnRef idx="0">
                          <a:schemeClr val="accent1"/>
                        </a:lnRef>
                        <a:fillRef idx="0">
                          <a:schemeClr val="accent1"/>
                        </a:fillRef>
                        <a:effectRef idx="0">
                          <a:schemeClr val="accent1"/>
                        </a:effectRef>
                        <a:fontRef idx="minor">
                          <a:schemeClr val="dk1"/>
                        </a:fontRef>
                      </wps:style>
                      <wps:txbx>
                        <w:txbxContent>
                          <w:sdt>
                            <w:sdtPr>
                              <w:rPr>
                                <w:rStyle w:val="BookTitle"/>
                              </w:rPr>
                              <w:alias w:val="Title"/>
                              <w:tag w:val=""/>
                              <w:id w:val="2023051511"/>
                              <w:dataBinding w:prefixMappings="xmlns:ns0='http://purl.org/dc/elements/1.1/' xmlns:ns1='http://schemas.openxmlformats.org/package/2006/metadata/core-properties' " w:xpath="/ns1:coreProperties[1]/ns0:title[1]" w:storeItemID="{6C3C8BC8-F283-45AE-878A-BAB7291924A1}"/>
                              <w:text/>
                            </w:sdtPr>
                            <w:sdtEndPr>
                              <w:rPr>
                                <w:rStyle w:val="BookTitle"/>
                              </w:rPr>
                            </w:sdtEndPr>
                            <w:sdtContent>
                              <w:p w:rsidRPr="00F469D6" w:rsidR="00F334A0" w:rsidP="00B3662B" w:rsidRDefault="00AD45F5" w14:paraId="68DEC546" w14:textId="7E9BF94E">
                                <w:pPr>
                                  <w:pStyle w:val="Publicationtitle"/>
                                  <w:rPr>
                                    <w:rStyle w:val="BookTitle"/>
                                  </w:rPr>
                                </w:pPr>
                                <w:r>
                                  <w:rPr>
                                    <w:rStyle w:val="BookTitle"/>
                                  </w:rPr>
                                  <w:t xml:space="preserve">Unique victims and alleged offenders in </w:t>
                                </w:r>
                                <w:r w:rsidR="006629D6">
                                  <w:rPr>
                                    <w:rStyle w:val="BookTitle"/>
                                  </w:rPr>
                                  <w:t>Victoria</w:t>
                                </w:r>
                              </w:p>
                            </w:sdtContent>
                          </w:sdt>
                          <w:p w:rsidR="00F334A0" w:rsidP="00782E20" w:rsidRDefault="00F334A0" w14:paraId="7391B2D6" w14:textId="7FCB3BB3">
                            <w:pPr>
                              <w:pStyle w:val="PublicationDate"/>
                            </w:pPr>
                            <w:r>
                              <w:t>Year ending 30 June 201</w:t>
                            </w:r>
                            <w:r w:rsidR="006629D6">
                              <w:t>9</w:t>
                            </w:r>
                          </w:p>
                          <w:p w:rsidR="006629D6" w:rsidP="00782E20" w:rsidRDefault="006629D6" w14:paraId="3B30A704" w14:textId="77777777">
                            <w:pPr>
                              <w:pStyle w:val="PublicationDate"/>
                            </w:pPr>
                          </w:p>
                        </w:txbxContent>
                      </wps:txbx>
                      <wps:bodyPr rot="0" spcFirstLastPara="false" vertOverflow="overflow" horzOverflow="overflow" vert="horz" wrap="square" lIns="0" tIns="0" rIns="0" bIns="0" numCol="1" spcCol="0" rtlCol="false" fromWordArt="false" anchor="t" anchorCtr="false" forceAA="false" compatLnSpc="tru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xmlns:v="urn:schemas-microsoft-com:vml" xmlns:xvml="urn:schemas-microsoft-com:office:excel" xmlns:o="urn:schemas-microsoft-com:office:office" xmlns:w10="urn:schemas-microsoft-com:office:word" xmlns:pvml="urn:schemas-microsoft-com:office:powerpoint" o:spt="202.0" path="m,l,21600r21600,l21600,xe" coordsize="21600,21600" id="_x0000_t202">
                <v:stroke joinstyle="miter"/>
                <v:path gradientshapeok="t" o:connecttype="rect"/>
              </v:shapetype>
              <v:shape xmlns:v="urn:schemas-microsoft-com:vml" xmlns:xvml="urn:schemas-microsoft-com:office:excel" xmlns:o="urn:schemas-microsoft-com:office:office" xmlns:w10="urn:schemas-microsoft-com:office:word" xmlns:pvml="urn:schemas-microsoft-com:office:powerpoint"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" type="#_x0000_t202" style="position:absolute;margin-left:-39.8pt;margin-top:50.2pt;width:383.4pt;height:14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id="Text Box 3" o:spid="_x0000_s1026" stroked="f" filled="f">
                <v:textbox inset="0,0,0,0">
                  <w:txbxContent>
                    <w:sdt>
                      <w:sdtPr>
                        <w:rPr>
                          <w:rStyle w:val="BookTitle"/>
                        </w:rPr>
                        <w:alias w:val="Title"/>
                        <w:tag w:val=""/>
                        <w:id w:val="2023051511"/>
                        <w:dataBinding w:prefixMappings="xmlns:ns0='http://purl.org/dc/elements/1.1/' xmlns:ns1='http://schemas.openxmlformats.org/package/2006/metadata/core-properties' " w:xpath="/ns1:coreProperties[1]/ns0:title[1]" w:storeItemID="{6C3C8BC8-F283-45AE-878A-BAB7291924A1}"/>
                        <w:text/>
                      </w:sdtPr>
                      <w:sdtEndPr>
                        <w:rPr>
                          <w:rStyle w:val="BookTitle"/>
                        </w:rPr>
                      </w:sdtEndPr>
                      <w:sdtContent>
                        <w:p w:rsidRPr="00F469D6" w:rsidR="00F334A0" w:rsidP="00B3662B" w:rsidRDefault="00AD45F5" w14:paraId="68DEC546" w14:textId="7E9BF94E">
                          <w:pPr>
                            <w:pStyle w:val="Publicationtitle"/>
                            <w:rPr>
                              <w:rStyle w:val="BookTitle"/>
                            </w:rPr>
                          </w:pPr>
                          <w:r>
                            <w:rPr>
                              <w:rStyle w:val="BookTitle"/>
                            </w:rPr>
                            <w:t xml:space="preserve">Unique victims and alleged offenders in </w:t>
                          </w:r>
                          <w:r w:rsidR="006629D6">
                            <w:rPr>
                              <w:rStyle w:val="BookTitle"/>
                            </w:rPr>
                            <w:t>Victoria</w:t>
                          </w:r>
                        </w:p>
                      </w:sdtContent>
                    </w:sdt>
                    <w:p w:rsidR="00F334A0" w:rsidP="00782E20" w:rsidRDefault="00F334A0" w14:paraId="7391B2D6" w14:textId="7FCB3BB3">
                      <w:pPr>
                        <w:pStyle w:val="PublicationDate"/>
                      </w:pPr>
                      <w:r>
                        <w:t>Year ending 30 June 201</w:t>
                      </w:r>
                      <w:r w:rsidR="006629D6">
                        <w:t>9</w:t>
                      </w:r>
                    </w:p>
                    <w:p w:rsidR="006629D6" w:rsidP="00782E20" w:rsidRDefault="006629D6" w14:paraId="3B30A704" w14:textId="77777777">
                      <w:pPr>
                        <w:pStyle w:val="PublicationDate"/>
                      </w:pPr>
                    </w:p>
                  </w:txbxContent>
                </v:textbox>
                <w10:wrap type="square"/>
              </v:shape>
            </w:pict>
          </mc:Fallback>
        </mc:AlternateContent>
      </w:r>
      <w:r w:rsidR="00B750AC">
        <w:t xml:space="preserve"> </w:t>
      </w:r>
    </w:p>
    <w:p w:rsidR="00C966EB" w:rsidP="00C966EB" w:rsidRDefault="00C966EB" w14:paraId="29473AC0" w14:textId="77777777">
      <w:pPr>
        <w:pStyle w:val="BodyText"/>
      </w:pPr>
    </w:p>
    <w:p w:rsidR="005D295D" w:rsidP="00C966EB" w:rsidRDefault="005D295D" w14:paraId="2CA59DF6" w14:textId="77777777">
      <w:pPr>
        <w:pStyle w:val="BodyText"/>
      </w:pPr>
    </w:p>
    <w:p w:rsidR="005D295D" w:rsidP="00C966EB" w:rsidRDefault="005D295D" w14:paraId="68A9A169" w14:textId="77777777">
      <w:pPr>
        <w:pStyle w:val="BodyText"/>
      </w:pPr>
    </w:p>
    <w:p w:rsidR="005D295D" w:rsidP="00C966EB" w:rsidRDefault="005D295D" w14:paraId="4EA21814" w14:textId="77777777">
      <w:pPr>
        <w:pStyle w:val="BodyText"/>
      </w:pPr>
    </w:p>
    <w:p w:rsidR="005D295D" w:rsidP="00C966EB" w:rsidRDefault="005D295D" w14:paraId="3B82966D" w14:textId="77777777">
      <w:pPr>
        <w:pStyle w:val="BodyText"/>
      </w:pPr>
    </w:p>
    <w:p w:rsidR="005D295D" w:rsidP="00C966EB" w:rsidRDefault="005D295D" w14:paraId="1BD1A14D" w14:textId="77777777">
      <w:pPr>
        <w:pStyle w:val="BodyText"/>
      </w:pPr>
    </w:p>
    <w:p w:rsidR="005D295D" w:rsidP="00C966EB" w:rsidRDefault="005D295D" w14:paraId="5425C84F" w14:textId="77777777">
      <w:pPr>
        <w:pStyle w:val="BodyText"/>
      </w:pPr>
    </w:p>
    <w:p w:rsidR="005D295D" w:rsidP="00C966EB" w:rsidRDefault="005D295D" w14:paraId="48826786" w14:textId="77777777">
      <w:pPr>
        <w:pStyle w:val="BodyText"/>
      </w:pPr>
    </w:p>
    <w:p w:rsidR="005D295D" w:rsidP="00C966EB" w:rsidRDefault="005D295D" w14:paraId="4DCA5DF0" w14:textId="77777777">
      <w:pPr>
        <w:pStyle w:val="BodyText"/>
      </w:pPr>
    </w:p>
    <w:p w:rsidR="005D295D" w:rsidP="00C966EB" w:rsidRDefault="005D295D" w14:paraId="6782AD5B" w14:textId="77777777">
      <w:pPr>
        <w:pStyle w:val="BodyText"/>
      </w:pPr>
    </w:p>
    <w:p w:rsidR="005D295D" w:rsidP="00C966EB" w:rsidRDefault="005D295D" w14:paraId="1B416EDA" w14:textId="77777777">
      <w:pPr>
        <w:pStyle w:val="BodyText"/>
      </w:pPr>
    </w:p>
    <w:p w:rsidR="005D295D" w:rsidP="00C966EB" w:rsidRDefault="005D295D" w14:paraId="38465F29" w14:textId="77777777">
      <w:pPr>
        <w:pStyle w:val="BodyText"/>
      </w:pPr>
    </w:p>
    <w:p w:rsidR="005D295D" w:rsidP="00C966EB" w:rsidRDefault="005D295D" w14:paraId="7EBD8A0C" w14:textId="77777777">
      <w:pPr>
        <w:pStyle w:val="BodyText"/>
      </w:pPr>
    </w:p>
    <w:p w:rsidR="005D295D" w:rsidP="00C966EB" w:rsidRDefault="005D295D" w14:paraId="4865EC9D" w14:textId="77777777">
      <w:pPr>
        <w:pStyle w:val="BodyText"/>
      </w:pPr>
    </w:p>
    <w:p w:rsidR="005D295D" w:rsidP="00C966EB" w:rsidRDefault="005D295D" w14:paraId="09331F6D" w14:textId="77777777">
      <w:pPr>
        <w:pStyle w:val="BodyText"/>
      </w:pPr>
    </w:p>
    <w:p w:rsidR="005D295D" w:rsidP="00C966EB" w:rsidRDefault="005D295D" w14:paraId="09494AA7" w14:textId="77777777">
      <w:pPr>
        <w:pStyle w:val="BodyText"/>
      </w:pPr>
    </w:p>
    <w:p w:rsidR="005D295D" w:rsidP="00C966EB" w:rsidRDefault="005D295D" w14:paraId="5BC1A908" w14:textId="77777777">
      <w:pPr>
        <w:pStyle w:val="BodyText"/>
      </w:pPr>
    </w:p>
    <w:p w:rsidR="005D295D" w:rsidP="00C966EB" w:rsidRDefault="005D295D" w14:paraId="2F7E72DF" w14:textId="77777777">
      <w:pPr>
        <w:pStyle w:val="BodyText"/>
      </w:pPr>
    </w:p>
    <w:p w:rsidR="005D295D" w:rsidP="00C966EB" w:rsidRDefault="005D295D" w14:paraId="21099C1F" w14:textId="77777777">
      <w:pPr>
        <w:pStyle w:val="BodyText"/>
      </w:pPr>
    </w:p>
    <w:p w:rsidR="005D295D" w:rsidP="00C966EB" w:rsidRDefault="005D295D" w14:paraId="08B71334" w14:textId="77777777">
      <w:pPr>
        <w:pStyle w:val="BodyText"/>
      </w:pPr>
    </w:p>
    <w:p w:rsidR="005D295D" w:rsidP="00C966EB" w:rsidRDefault="005D295D" w14:paraId="72685F5F" w14:textId="77777777">
      <w:pPr>
        <w:pStyle w:val="BodyText"/>
      </w:pPr>
    </w:p>
    <w:p w:rsidR="005D295D" w:rsidP="00C966EB" w:rsidRDefault="005D295D" w14:paraId="291FA32B" w14:textId="77777777">
      <w:pPr>
        <w:pStyle w:val="BodyText"/>
      </w:pPr>
    </w:p>
    <w:p w:rsidR="005D295D" w:rsidP="00C966EB" w:rsidRDefault="005D295D" w14:paraId="3DC37293" w14:textId="77777777">
      <w:pPr>
        <w:pStyle w:val="BodyText"/>
      </w:pPr>
    </w:p>
    <w:p w:rsidR="005D295D" w:rsidP="00C966EB" w:rsidRDefault="005D295D" w14:paraId="0E0F55F6" w14:textId="77777777">
      <w:pPr>
        <w:pStyle w:val="BodyText"/>
      </w:pPr>
      <w:r>
        <w:rPr>
          <w:noProof/>
          <w:lang w:val="en-AU" w:eastAsia="en-AU"/>
        </w:rPr>
        <w:drawing>
          <wp:inline distT="0" distB="0" distL="0" distR="0">
            <wp:extent cx="1788160" cy="244384"/>
            <wp:effectExtent l="0" t="0" r="0" b="10160"/>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8" name="Picture 8"/>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0" name="cc logo.tif"/>
                    <pic:cNvPicPr/>
                  </pic:nvPicPr>
                  <pic:blipFill>
                    <a:blip r:embed="rId14">
                      <a:extLst>
                        <a:ext uri="{28A0092B-C50C-407E-A947-70E740481C1C}">
                          <a14:useLocalDpi val="false"/>
                        </a:ext>
                      </a:extLst>
                    </a:blip>
                    <a:stretch>
                      <a:fillRect/>
                    </a:stretch>
                  </pic:blipFill>
                  <pic:spPr>
                    <a:xfrm>
                      <a:off x="0" y="0"/>
                      <a:ext cx="1791653" cy="244861"/>
                    </a:xfrm>
                    <a:prstGeom prst="rect">
                      <a:avLst/>
                    </a:prstGeom>
                  </pic:spPr>
                </pic:pic>
              </a:graphicData>
            </a:graphic>
          </wp:inline>
        </w:drawing>
      </w:r>
    </w:p>
    <w:p w:rsidRPr="0001393A" w:rsidR="00C966EB" w:rsidP="00C966EB" w:rsidRDefault="00C966EB" w14:paraId="7D6168B3" w14:textId="77777777">
      <w:pPr>
        <w:pStyle w:val="Imprintpage"/>
      </w:pPr>
      <w:r w:rsidRPr="0001393A">
        <w:t xml:space="preserve">Unless indicated otherwise, content in this publication is provided under a Creative Commons Attribution </w:t>
      </w:r>
      <w:r w:rsidR="00CB78AA">
        <w:t>4</w:t>
      </w:r>
      <w:r w:rsidRPr="0001393A">
        <w:t xml:space="preserve">.0 </w:t>
      </w:r>
      <w:r w:rsidR="00CB78AA">
        <w:t>International</w:t>
      </w:r>
      <w:r w:rsidRPr="0001393A">
        <w:t xml:space="preserve"> Licence. To view a copy of this licence, visit crea</w:t>
      </w:r>
      <w:r w:rsidR="00CB78AA">
        <w:t>tivecommons.org/licenses/by/4.0</w:t>
      </w:r>
      <w:r w:rsidR="004E1D1E">
        <w:t>.</w:t>
      </w:r>
      <w:r w:rsidRPr="0001393A">
        <w:t xml:space="preserve"> It is a condition of the Creative Commons Attribution </w:t>
      </w:r>
      <w:r w:rsidR="00CB78AA">
        <w:t>4</w:t>
      </w:r>
      <w:r w:rsidRPr="0001393A">
        <w:t>.0</w:t>
      </w:r>
      <w:r w:rsidR="00CB78AA">
        <w:t xml:space="preserve"> International</w:t>
      </w:r>
      <w:r w:rsidRPr="0001393A">
        <w:t xml:space="preserve"> Licence that you must give credit to the original author who is the </w:t>
      </w:r>
      <w:r w:rsidR="005F53AC">
        <w:t>Crime Statistics Agency</w:t>
      </w:r>
      <w:r w:rsidRPr="0001393A">
        <w:t xml:space="preserve">. </w:t>
      </w:r>
    </w:p>
    <w:p w:rsidRPr="0001393A" w:rsidR="00C966EB" w:rsidP="00C966EB" w:rsidRDefault="00C966EB" w14:paraId="1CFA8CEC" w14:textId="77777777">
      <w:pPr>
        <w:pStyle w:val="Imprintpage"/>
      </w:pPr>
      <w:r w:rsidRPr="0001393A">
        <w:t>If you would like to receive this publication in an accessible format, such as large print or audio, please telephone Crime Statistics Agency on 03 8684 1808 or email info@crimestatistics.vic.gov.au.</w:t>
      </w:r>
    </w:p>
    <w:p w:rsidRPr="0001393A" w:rsidR="00C966EB" w:rsidP="00C966EB" w:rsidRDefault="00C966EB" w14:paraId="52FCF0CE" w14:textId="77777777">
      <w:pPr>
        <w:pStyle w:val="Imprintpage"/>
      </w:pPr>
      <w:r w:rsidRPr="0001393A">
        <w:t>For further information or additional copies, please contact</w:t>
      </w:r>
      <w:proofErr w:type="gramStart"/>
      <w:r w:rsidRPr="0001393A">
        <w:t>:</w:t>
      </w:r>
      <w:proofErr w:type="gramEnd"/>
      <w:r w:rsidRPr="0001393A">
        <w:br/>
        <w:t>Crime Statistics Agency</w:t>
      </w:r>
    </w:p>
    <w:p w:rsidRPr="0001393A" w:rsidR="00C966EB" w:rsidP="00C966EB" w:rsidRDefault="00C966EB" w14:paraId="4CAEFC15" w14:textId="77777777">
      <w:pPr>
        <w:pStyle w:val="Imprintpage"/>
      </w:pPr>
      <w:r w:rsidRPr="0001393A">
        <w:t>121 Exhibition Street, Melbourne, VIC 3000</w:t>
      </w:r>
    </w:p>
    <w:p w:rsidR="005D295D" w:rsidP="00C966EB" w:rsidRDefault="00C966EB" w14:paraId="70098506" w14:textId="77777777">
      <w:pPr>
        <w:pStyle w:val="Imprintpage"/>
      </w:pPr>
      <w:r w:rsidRPr="0001393A">
        <w:t>Tel 03 8684 1808</w:t>
      </w:r>
    </w:p>
    <w:p w:rsidR="005D295D" w:rsidRDefault="005D295D" w14:paraId="38411763" w14:textId="77777777">
      <w:pPr>
        <w:rPr>
          <w:rFonts w:ascii="Roboto Condensed" w:hAnsi="Roboto Condensed" w:cs="TradeGothic-Light"/>
          <w:color w:val="000000"/>
          <w:sz w:val="22"/>
          <w:szCs w:val="22"/>
          <w:lang w:val="en-GB"/>
        </w:rPr>
      </w:pPr>
      <w:r>
        <w:br w:type="page"/>
      </w:r>
    </w:p>
    <w:sdt>
      <w:sdtPr>
        <w:rPr>
          <w:rFonts w:asciiTheme="minorHAnsi" w:hAnsiTheme="minorHAnsi"/>
        </w:rPr>
        <w:id w:val="1054123733"/>
        <w:docPartObj>
          <w:docPartGallery w:val="Table of Contents"/>
          <w:docPartUnique/>
        </w:docPartObj>
      </w:sdtPr>
      <w:sdtEndPr>
        <w:rPr>
          <w:rFonts w:ascii="Roboto Condensed" w:hAnsi="Roboto Condensed"/>
          <w:b/>
          <w:bCs/>
          <w:noProof/>
        </w:rPr>
      </w:sdtEndPr>
      <w:sdtContent>
        <w:p w:rsidRPr="000A3993" w:rsidR="00C966EB" w:rsidP="00C966EB" w:rsidRDefault="00C966EB" w14:paraId="342B137F" w14:textId="77777777">
          <w:pPr>
            <w:pStyle w:val="TOC1"/>
            <w:rPr>
              <w:rStyle w:val="Heading1Char"/>
            </w:rPr>
          </w:pPr>
          <w:r w:rsidRPr="000A3993">
            <w:rPr>
              <w:rStyle w:val="Heading1Char"/>
            </w:rPr>
            <w:t>Contents</w:t>
          </w:r>
        </w:p>
        <w:p w:rsidR="00250E64" w:rsidRDefault="00C966EB" w14:paraId="79DD1FDF" w14:textId="77777777">
          <w:pPr>
            <w:pStyle w:val="TOC1"/>
            <w:tabs>
              <w:tab w:val="right" w:leader="dot" w:pos="9628"/>
            </w:tabs>
            <w:rPr>
              <w:rFonts w:asciiTheme="minorHAnsi" w:hAnsiTheme="minorHAnsi"/>
              <w:noProof/>
              <w:sz w:val="22"/>
              <w:szCs w:val="22"/>
              <w:lang w:eastAsia="en-AU"/>
            </w:rPr>
          </w:pPr>
          <w:r>
            <w:fldChar w:fldCharType="begin"/>
          </w:r>
          <w:r>
            <w:instrText xml:space="preserve"> TOC \o "1-3" \h \z \u </w:instrText>
          </w:r>
          <w:r>
            <w:fldChar w:fldCharType="separate"/>
          </w:r>
          <w:hyperlink w:history="true" w:anchor="_Toc19538138">
            <w:r w:rsidRPr="00610972" w:rsidR="00250E64">
              <w:rPr>
                <w:rStyle w:val="Hyperlink"/>
                <w:noProof/>
              </w:rPr>
              <w:t>Introduction</w:t>
            </w:r>
            <w:r w:rsidR="00250E64">
              <w:rPr>
                <w:noProof/>
                <w:webHidden/>
              </w:rPr>
              <w:tab/>
            </w:r>
            <w:r w:rsidR="00250E64">
              <w:rPr>
                <w:noProof/>
                <w:webHidden/>
              </w:rPr>
              <w:fldChar w:fldCharType="begin"/>
            </w:r>
            <w:r w:rsidR="00250E64">
              <w:rPr>
                <w:noProof/>
                <w:webHidden/>
              </w:rPr>
              <w:instrText xml:space="preserve"> PAGEREF _Toc19538138 \h </w:instrText>
            </w:r>
            <w:r w:rsidR="00250E64">
              <w:rPr>
                <w:noProof/>
                <w:webHidden/>
              </w:rPr>
            </w:r>
            <w:r w:rsidR="00250E64">
              <w:rPr>
                <w:noProof/>
                <w:webHidden/>
              </w:rPr>
              <w:fldChar w:fldCharType="separate"/>
            </w:r>
            <w:r w:rsidR="00EE3620">
              <w:rPr>
                <w:noProof/>
                <w:webHidden/>
              </w:rPr>
              <w:t>3</w:t>
            </w:r>
            <w:r w:rsidR="00250E64">
              <w:rPr>
                <w:noProof/>
                <w:webHidden/>
              </w:rPr>
              <w:fldChar w:fldCharType="end"/>
            </w:r>
          </w:hyperlink>
        </w:p>
        <w:p w:rsidR="00250E64" w:rsidRDefault="00EE3620" w14:paraId="331CA034" w14:textId="77777777">
          <w:pPr>
            <w:pStyle w:val="TOC1"/>
            <w:tabs>
              <w:tab w:val="right" w:leader="dot" w:pos="9628"/>
            </w:tabs>
            <w:rPr>
              <w:rFonts w:asciiTheme="minorHAnsi" w:hAnsiTheme="minorHAnsi"/>
              <w:noProof/>
              <w:sz w:val="22"/>
              <w:szCs w:val="22"/>
              <w:lang w:eastAsia="en-AU"/>
            </w:rPr>
          </w:pPr>
          <w:hyperlink w:history="true" w:anchor="_Toc19538139">
            <w:r w:rsidRPr="00610972" w:rsidR="00250E64">
              <w:rPr>
                <w:rStyle w:val="Hyperlink"/>
                <w:noProof/>
              </w:rPr>
              <w:t>1. Unique alleged offenders in Victoria</w:t>
            </w:r>
            <w:r w:rsidR="00250E64">
              <w:rPr>
                <w:noProof/>
                <w:webHidden/>
              </w:rPr>
              <w:tab/>
            </w:r>
            <w:r w:rsidR="00250E64">
              <w:rPr>
                <w:noProof/>
                <w:webHidden/>
              </w:rPr>
              <w:fldChar w:fldCharType="begin"/>
            </w:r>
            <w:r w:rsidR="00250E64">
              <w:rPr>
                <w:noProof/>
                <w:webHidden/>
              </w:rPr>
              <w:instrText xml:space="preserve"> PAGEREF _Toc19538139 \h </w:instrText>
            </w:r>
            <w:r w:rsidR="00250E64">
              <w:rPr>
                <w:noProof/>
                <w:webHidden/>
              </w:rPr>
            </w:r>
            <w:r w:rsidR="00250E64">
              <w:rPr>
                <w:noProof/>
                <w:webHidden/>
              </w:rPr>
              <w:fldChar w:fldCharType="separate"/>
            </w:r>
            <w:r>
              <w:rPr>
                <w:noProof/>
                <w:webHidden/>
              </w:rPr>
              <w:t>4</w:t>
            </w:r>
            <w:r w:rsidR="00250E64">
              <w:rPr>
                <w:noProof/>
                <w:webHidden/>
              </w:rPr>
              <w:fldChar w:fldCharType="end"/>
            </w:r>
          </w:hyperlink>
        </w:p>
        <w:p w:rsidR="00250E64" w:rsidRDefault="00EE3620" w14:paraId="6C3ABDD5" w14:textId="77777777">
          <w:pPr>
            <w:pStyle w:val="TOC2"/>
            <w:tabs>
              <w:tab w:val="right" w:leader="dot" w:pos="9628"/>
            </w:tabs>
            <w:rPr>
              <w:rFonts w:asciiTheme="minorHAnsi" w:hAnsiTheme="minorHAnsi"/>
              <w:noProof/>
              <w:sz w:val="22"/>
              <w:szCs w:val="22"/>
              <w:lang w:eastAsia="en-AU"/>
            </w:rPr>
          </w:pPr>
          <w:hyperlink w:history="true" w:anchor="_Toc19538140">
            <w:r w:rsidRPr="00610972" w:rsidR="00250E64">
              <w:rPr>
                <w:rStyle w:val="Hyperlink"/>
                <w:noProof/>
              </w:rPr>
              <w:t>1.1 Sex and age of unique alleged offenders</w:t>
            </w:r>
            <w:r w:rsidR="00250E64">
              <w:rPr>
                <w:noProof/>
                <w:webHidden/>
              </w:rPr>
              <w:tab/>
            </w:r>
            <w:r w:rsidR="00250E64">
              <w:rPr>
                <w:noProof/>
                <w:webHidden/>
              </w:rPr>
              <w:fldChar w:fldCharType="begin"/>
            </w:r>
            <w:r w:rsidR="00250E64">
              <w:rPr>
                <w:noProof/>
                <w:webHidden/>
              </w:rPr>
              <w:instrText xml:space="preserve"> PAGEREF _Toc19538140 \h </w:instrText>
            </w:r>
            <w:r w:rsidR="00250E64">
              <w:rPr>
                <w:noProof/>
                <w:webHidden/>
              </w:rPr>
            </w:r>
            <w:r w:rsidR="00250E64">
              <w:rPr>
                <w:noProof/>
                <w:webHidden/>
              </w:rPr>
              <w:fldChar w:fldCharType="separate"/>
            </w:r>
            <w:r>
              <w:rPr>
                <w:noProof/>
                <w:webHidden/>
              </w:rPr>
              <w:t>5</w:t>
            </w:r>
            <w:r w:rsidR="00250E64">
              <w:rPr>
                <w:noProof/>
                <w:webHidden/>
              </w:rPr>
              <w:fldChar w:fldCharType="end"/>
            </w:r>
          </w:hyperlink>
        </w:p>
        <w:p w:rsidR="00250E64" w:rsidRDefault="00EE3620" w14:paraId="24919781" w14:textId="77777777">
          <w:pPr>
            <w:pStyle w:val="TOC2"/>
            <w:tabs>
              <w:tab w:val="right" w:leader="dot" w:pos="9628"/>
            </w:tabs>
            <w:rPr>
              <w:rFonts w:asciiTheme="minorHAnsi" w:hAnsiTheme="minorHAnsi"/>
              <w:noProof/>
              <w:sz w:val="22"/>
              <w:szCs w:val="22"/>
              <w:lang w:eastAsia="en-AU"/>
            </w:rPr>
          </w:pPr>
          <w:hyperlink w:history="true" w:anchor="_Toc19538141">
            <w:r w:rsidRPr="00610972" w:rsidR="00250E64">
              <w:rPr>
                <w:rStyle w:val="Hyperlink"/>
                <w:noProof/>
              </w:rPr>
              <w:t>1.2 Family violence related unique alleged offenders</w:t>
            </w:r>
            <w:r w:rsidR="00250E64">
              <w:rPr>
                <w:noProof/>
                <w:webHidden/>
              </w:rPr>
              <w:tab/>
            </w:r>
            <w:r w:rsidR="00250E64">
              <w:rPr>
                <w:noProof/>
                <w:webHidden/>
              </w:rPr>
              <w:fldChar w:fldCharType="begin"/>
            </w:r>
            <w:r w:rsidR="00250E64">
              <w:rPr>
                <w:noProof/>
                <w:webHidden/>
              </w:rPr>
              <w:instrText xml:space="preserve"> PAGEREF _Toc19538141 \h </w:instrText>
            </w:r>
            <w:r w:rsidR="00250E64">
              <w:rPr>
                <w:noProof/>
                <w:webHidden/>
              </w:rPr>
            </w:r>
            <w:r w:rsidR="00250E64">
              <w:rPr>
                <w:noProof/>
                <w:webHidden/>
              </w:rPr>
              <w:fldChar w:fldCharType="separate"/>
            </w:r>
            <w:r>
              <w:rPr>
                <w:noProof/>
                <w:webHidden/>
              </w:rPr>
              <w:t>7</w:t>
            </w:r>
            <w:r w:rsidR="00250E64">
              <w:rPr>
                <w:noProof/>
                <w:webHidden/>
              </w:rPr>
              <w:fldChar w:fldCharType="end"/>
            </w:r>
          </w:hyperlink>
        </w:p>
        <w:p w:rsidR="00250E64" w:rsidRDefault="00EE3620" w14:paraId="006E04E9" w14:textId="77777777">
          <w:pPr>
            <w:pStyle w:val="TOC2"/>
            <w:tabs>
              <w:tab w:val="right" w:leader="dot" w:pos="9628"/>
            </w:tabs>
            <w:rPr>
              <w:rFonts w:asciiTheme="minorHAnsi" w:hAnsiTheme="minorHAnsi"/>
              <w:noProof/>
              <w:sz w:val="22"/>
              <w:szCs w:val="22"/>
              <w:lang w:eastAsia="en-AU"/>
            </w:rPr>
          </w:pPr>
          <w:hyperlink w:history="true" w:anchor="_Toc19538142">
            <w:r w:rsidRPr="00610972" w:rsidR="00250E64">
              <w:rPr>
                <w:rStyle w:val="Hyperlink"/>
                <w:noProof/>
              </w:rPr>
              <w:t>1.3 Unique alleged offenders under 25 years of age</w:t>
            </w:r>
            <w:r w:rsidR="00250E64">
              <w:rPr>
                <w:noProof/>
                <w:webHidden/>
              </w:rPr>
              <w:tab/>
            </w:r>
            <w:r w:rsidR="00250E64">
              <w:rPr>
                <w:noProof/>
                <w:webHidden/>
              </w:rPr>
              <w:fldChar w:fldCharType="begin"/>
            </w:r>
            <w:r w:rsidR="00250E64">
              <w:rPr>
                <w:noProof/>
                <w:webHidden/>
              </w:rPr>
              <w:instrText xml:space="preserve"> PAGEREF _Toc19538142 \h </w:instrText>
            </w:r>
            <w:r w:rsidR="00250E64">
              <w:rPr>
                <w:noProof/>
                <w:webHidden/>
              </w:rPr>
            </w:r>
            <w:r w:rsidR="00250E64">
              <w:rPr>
                <w:noProof/>
                <w:webHidden/>
              </w:rPr>
              <w:fldChar w:fldCharType="separate"/>
            </w:r>
            <w:r>
              <w:rPr>
                <w:noProof/>
                <w:webHidden/>
              </w:rPr>
              <w:t>8</w:t>
            </w:r>
            <w:r w:rsidR="00250E64">
              <w:rPr>
                <w:noProof/>
                <w:webHidden/>
              </w:rPr>
              <w:fldChar w:fldCharType="end"/>
            </w:r>
          </w:hyperlink>
        </w:p>
        <w:p w:rsidR="00250E64" w:rsidRDefault="00EE3620" w14:paraId="17BF1858" w14:textId="77777777">
          <w:pPr>
            <w:pStyle w:val="TOC2"/>
            <w:tabs>
              <w:tab w:val="right" w:leader="dot" w:pos="9628"/>
            </w:tabs>
            <w:rPr>
              <w:rFonts w:asciiTheme="minorHAnsi" w:hAnsiTheme="minorHAnsi"/>
              <w:noProof/>
              <w:sz w:val="22"/>
              <w:szCs w:val="22"/>
              <w:lang w:eastAsia="en-AU"/>
            </w:rPr>
          </w:pPr>
          <w:hyperlink w:history="true" w:anchor="_Toc19538143">
            <w:r w:rsidRPr="00610972" w:rsidR="00250E64">
              <w:rPr>
                <w:rStyle w:val="Hyperlink"/>
                <w:noProof/>
              </w:rPr>
              <w:t>1.4 Repeat offending</w:t>
            </w:r>
            <w:r w:rsidR="00250E64">
              <w:rPr>
                <w:noProof/>
                <w:webHidden/>
              </w:rPr>
              <w:tab/>
            </w:r>
            <w:r w:rsidR="00250E64">
              <w:rPr>
                <w:noProof/>
                <w:webHidden/>
              </w:rPr>
              <w:fldChar w:fldCharType="begin"/>
            </w:r>
            <w:r w:rsidR="00250E64">
              <w:rPr>
                <w:noProof/>
                <w:webHidden/>
              </w:rPr>
              <w:instrText xml:space="preserve"> PAGEREF _Toc19538143 \h </w:instrText>
            </w:r>
            <w:r w:rsidR="00250E64">
              <w:rPr>
                <w:noProof/>
                <w:webHidden/>
              </w:rPr>
            </w:r>
            <w:r w:rsidR="00250E64">
              <w:rPr>
                <w:noProof/>
                <w:webHidden/>
              </w:rPr>
              <w:fldChar w:fldCharType="separate"/>
            </w:r>
            <w:r>
              <w:rPr>
                <w:noProof/>
                <w:webHidden/>
              </w:rPr>
              <w:t>9</w:t>
            </w:r>
            <w:r w:rsidR="00250E64">
              <w:rPr>
                <w:noProof/>
                <w:webHidden/>
              </w:rPr>
              <w:fldChar w:fldCharType="end"/>
            </w:r>
          </w:hyperlink>
        </w:p>
        <w:p w:rsidR="00250E64" w:rsidRDefault="00EE3620" w14:paraId="19159634" w14:textId="77777777">
          <w:pPr>
            <w:pStyle w:val="TOC1"/>
            <w:tabs>
              <w:tab w:val="right" w:leader="dot" w:pos="9628"/>
            </w:tabs>
            <w:rPr>
              <w:rFonts w:asciiTheme="minorHAnsi" w:hAnsiTheme="minorHAnsi"/>
              <w:noProof/>
              <w:sz w:val="22"/>
              <w:szCs w:val="22"/>
              <w:lang w:eastAsia="en-AU"/>
            </w:rPr>
          </w:pPr>
          <w:hyperlink w:history="true" w:anchor="_Toc19538144">
            <w:r w:rsidRPr="00610972" w:rsidR="00250E64">
              <w:rPr>
                <w:rStyle w:val="Hyperlink"/>
                <w:noProof/>
              </w:rPr>
              <w:t>2. Unique victims of crime in Victoria</w:t>
            </w:r>
            <w:r w:rsidR="00250E64">
              <w:rPr>
                <w:noProof/>
                <w:webHidden/>
              </w:rPr>
              <w:tab/>
            </w:r>
            <w:r w:rsidR="00250E64">
              <w:rPr>
                <w:noProof/>
                <w:webHidden/>
              </w:rPr>
              <w:fldChar w:fldCharType="begin"/>
            </w:r>
            <w:r w:rsidR="00250E64">
              <w:rPr>
                <w:noProof/>
                <w:webHidden/>
              </w:rPr>
              <w:instrText xml:space="preserve"> PAGEREF _Toc19538144 \h </w:instrText>
            </w:r>
            <w:r w:rsidR="00250E64">
              <w:rPr>
                <w:noProof/>
                <w:webHidden/>
              </w:rPr>
            </w:r>
            <w:r w:rsidR="00250E64">
              <w:rPr>
                <w:noProof/>
                <w:webHidden/>
              </w:rPr>
              <w:fldChar w:fldCharType="separate"/>
            </w:r>
            <w:r>
              <w:rPr>
                <w:noProof/>
                <w:webHidden/>
              </w:rPr>
              <w:t>10</w:t>
            </w:r>
            <w:r w:rsidR="00250E64">
              <w:rPr>
                <w:noProof/>
                <w:webHidden/>
              </w:rPr>
              <w:fldChar w:fldCharType="end"/>
            </w:r>
          </w:hyperlink>
        </w:p>
        <w:p w:rsidR="00250E64" w:rsidRDefault="00EE3620" w14:paraId="6C300AA3" w14:textId="77777777">
          <w:pPr>
            <w:pStyle w:val="TOC2"/>
            <w:tabs>
              <w:tab w:val="right" w:leader="dot" w:pos="9628"/>
            </w:tabs>
            <w:rPr>
              <w:rFonts w:asciiTheme="minorHAnsi" w:hAnsiTheme="minorHAnsi"/>
              <w:noProof/>
              <w:sz w:val="22"/>
              <w:szCs w:val="22"/>
              <w:lang w:eastAsia="en-AU"/>
            </w:rPr>
          </w:pPr>
          <w:hyperlink w:history="true" w:anchor="_Toc19538145">
            <w:r w:rsidRPr="00610972" w:rsidR="00250E64">
              <w:rPr>
                <w:rStyle w:val="Hyperlink"/>
                <w:noProof/>
              </w:rPr>
              <w:t>2.1 Sex and age of unique victims</w:t>
            </w:r>
            <w:r w:rsidR="00250E64">
              <w:rPr>
                <w:noProof/>
                <w:webHidden/>
              </w:rPr>
              <w:tab/>
            </w:r>
            <w:r w:rsidR="00250E64">
              <w:rPr>
                <w:noProof/>
                <w:webHidden/>
              </w:rPr>
              <w:fldChar w:fldCharType="begin"/>
            </w:r>
            <w:r w:rsidR="00250E64">
              <w:rPr>
                <w:noProof/>
                <w:webHidden/>
              </w:rPr>
              <w:instrText xml:space="preserve"> PAGEREF _Toc19538145 \h </w:instrText>
            </w:r>
            <w:r w:rsidR="00250E64">
              <w:rPr>
                <w:noProof/>
                <w:webHidden/>
              </w:rPr>
            </w:r>
            <w:r w:rsidR="00250E64">
              <w:rPr>
                <w:noProof/>
                <w:webHidden/>
              </w:rPr>
              <w:fldChar w:fldCharType="separate"/>
            </w:r>
            <w:r>
              <w:rPr>
                <w:noProof/>
                <w:webHidden/>
              </w:rPr>
              <w:t>11</w:t>
            </w:r>
            <w:r w:rsidR="00250E64">
              <w:rPr>
                <w:noProof/>
                <w:webHidden/>
              </w:rPr>
              <w:fldChar w:fldCharType="end"/>
            </w:r>
          </w:hyperlink>
        </w:p>
        <w:p w:rsidR="00250E64" w:rsidRDefault="00EE3620" w14:paraId="0A150B30" w14:textId="77777777">
          <w:pPr>
            <w:pStyle w:val="TOC2"/>
            <w:tabs>
              <w:tab w:val="right" w:leader="dot" w:pos="9628"/>
            </w:tabs>
            <w:rPr>
              <w:rFonts w:asciiTheme="minorHAnsi" w:hAnsiTheme="minorHAnsi"/>
              <w:noProof/>
              <w:sz w:val="22"/>
              <w:szCs w:val="22"/>
              <w:lang w:eastAsia="en-AU"/>
            </w:rPr>
          </w:pPr>
          <w:hyperlink w:history="true" w:anchor="_Toc19538146">
            <w:r w:rsidRPr="00610972" w:rsidR="00250E64">
              <w:rPr>
                <w:rStyle w:val="Hyperlink"/>
                <w:noProof/>
              </w:rPr>
              <w:t>2.2 Unique victims involved in family violence</w:t>
            </w:r>
            <w:r w:rsidR="00250E64">
              <w:rPr>
                <w:noProof/>
                <w:webHidden/>
              </w:rPr>
              <w:tab/>
            </w:r>
            <w:r w:rsidR="00250E64">
              <w:rPr>
                <w:noProof/>
                <w:webHidden/>
              </w:rPr>
              <w:fldChar w:fldCharType="begin"/>
            </w:r>
            <w:r w:rsidR="00250E64">
              <w:rPr>
                <w:noProof/>
                <w:webHidden/>
              </w:rPr>
              <w:instrText xml:space="preserve"> PAGEREF _Toc19538146 \h </w:instrText>
            </w:r>
            <w:r w:rsidR="00250E64">
              <w:rPr>
                <w:noProof/>
                <w:webHidden/>
              </w:rPr>
            </w:r>
            <w:r w:rsidR="00250E64">
              <w:rPr>
                <w:noProof/>
                <w:webHidden/>
              </w:rPr>
              <w:fldChar w:fldCharType="separate"/>
            </w:r>
            <w:r>
              <w:rPr>
                <w:noProof/>
                <w:webHidden/>
              </w:rPr>
              <w:t>12</w:t>
            </w:r>
            <w:r w:rsidR="00250E64">
              <w:rPr>
                <w:noProof/>
                <w:webHidden/>
              </w:rPr>
              <w:fldChar w:fldCharType="end"/>
            </w:r>
          </w:hyperlink>
        </w:p>
        <w:p w:rsidR="00250E64" w:rsidRDefault="00EE3620" w14:paraId="645AE4F6" w14:textId="77777777">
          <w:pPr>
            <w:pStyle w:val="TOC2"/>
            <w:tabs>
              <w:tab w:val="right" w:leader="dot" w:pos="9628"/>
            </w:tabs>
            <w:rPr>
              <w:rFonts w:asciiTheme="minorHAnsi" w:hAnsiTheme="minorHAnsi"/>
              <w:noProof/>
              <w:sz w:val="22"/>
              <w:szCs w:val="22"/>
              <w:lang w:eastAsia="en-AU"/>
            </w:rPr>
          </w:pPr>
          <w:hyperlink w:history="true" w:anchor="_Toc19538147">
            <w:r w:rsidRPr="00610972" w:rsidR="00250E64">
              <w:rPr>
                <w:rStyle w:val="Hyperlink"/>
                <w:noProof/>
              </w:rPr>
              <w:t>2.3 Youth victims</w:t>
            </w:r>
            <w:r w:rsidR="00250E64">
              <w:rPr>
                <w:noProof/>
                <w:webHidden/>
              </w:rPr>
              <w:tab/>
            </w:r>
            <w:r w:rsidR="00250E64">
              <w:rPr>
                <w:noProof/>
                <w:webHidden/>
              </w:rPr>
              <w:fldChar w:fldCharType="begin"/>
            </w:r>
            <w:r w:rsidR="00250E64">
              <w:rPr>
                <w:noProof/>
                <w:webHidden/>
              </w:rPr>
              <w:instrText xml:space="preserve"> PAGEREF _Toc19538147 \h </w:instrText>
            </w:r>
            <w:r w:rsidR="00250E64">
              <w:rPr>
                <w:noProof/>
                <w:webHidden/>
              </w:rPr>
            </w:r>
            <w:r w:rsidR="00250E64">
              <w:rPr>
                <w:noProof/>
                <w:webHidden/>
              </w:rPr>
              <w:fldChar w:fldCharType="separate"/>
            </w:r>
            <w:r>
              <w:rPr>
                <w:noProof/>
                <w:webHidden/>
              </w:rPr>
              <w:t>13</w:t>
            </w:r>
            <w:r w:rsidR="00250E64">
              <w:rPr>
                <w:noProof/>
                <w:webHidden/>
              </w:rPr>
              <w:fldChar w:fldCharType="end"/>
            </w:r>
          </w:hyperlink>
        </w:p>
        <w:p w:rsidR="00250E64" w:rsidRDefault="00EE3620" w14:paraId="0E0E97DF" w14:textId="77777777">
          <w:pPr>
            <w:pStyle w:val="TOC2"/>
            <w:tabs>
              <w:tab w:val="right" w:leader="dot" w:pos="9628"/>
            </w:tabs>
            <w:rPr>
              <w:rFonts w:asciiTheme="minorHAnsi" w:hAnsiTheme="minorHAnsi"/>
              <w:noProof/>
              <w:sz w:val="22"/>
              <w:szCs w:val="22"/>
              <w:lang w:eastAsia="en-AU"/>
            </w:rPr>
          </w:pPr>
          <w:hyperlink w:history="true" w:anchor="_Toc19538148">
            <w:r w:rsidRPr="00610972" w:rsidR="00250E64">
              <w:rPr>
                <w:rStyle w:val="Hyperlink"/>
                <w:noProof/>
              </w:rPr>
              <w:t>2.4 Repeat victimisation</w:t>
            </w:r>
            <w:r w:rsidR="00250E64">
              <w:rPr>
                <w:noProof/>
                <w:webHidden/>
              </w:rPr>
              <w:tab/>
            </w:r>
            <w:r w:rsidR="00250E64">
              <w:rPr>
                <w:noProof/>
                <w:webHidden/>
              </w:rPr>
              <w:fldChar w:fldCharType="begin"/>
            </w:r>
            <w:r w:rsidR="00250E64">
              <w:rPr>
                <w:noProof/>
                <w:webHidden/>
              </w:rPr>
              <w:instrText xml:space="preserve"> PAGEREF _Toc19538148 \h </w:instrText>
            </w:r>
            <w:r w:rsidR="00250E64">
              <w:rPr>
                <w:noProof/>
                <w:webHidden/>
              </w:rPr>
            </w:r>
            <w:r w:rsidR="00250E64">
              <w:rPr>
                <w:noProof/>
                <w:webHidden/>
              </w:rPr>
              <w:fldChar w:fldCharType="separate"/>
            </w:r>
            <w:r>
              <w:rPr>
                <w:noProof/>
                <w:webHidden/>
              </w:rPr>
              <w:t>14</w:t>
            </w:r>
            <w:r w:rsidR="00250E64">
              <w:rPr>
                <w:noProof/>
                <w:webHidden/>
              </w:rPr>
              <w:fldChar w:fldCharType="end"/>
            </w:r>
          </w:hyperlink>
        </w:p>
        <w:p w:rsidRPr="00217642" w:rsidR="00C966EB" w:rsidP="00217642" w:rsidRDefault="00C966EB" w14:paraId="7E4729CB" w14:textId="77777777">
          <w:pPr>
            <w:pStyle w:val="TOC1"/>
            <w:tabs>
              <w:tab w:val="right" w:leader="dot" w:pos="9628"/>
            </w:tabs>
          </w:pPr>
          <w:r>
            <w:fldChar w:fldCharType="end"/>
          </w:r>
        </w:p>
      </w:sdtContent>
    </w:sdt>
    <w:p w:rsidR="00C966EB" w:rsidP="00C966EB" w:rsidRDefault="00C966EB" w14:paraId="0B1B5F0A" w14:textId="77777777">
      <w:pPr>
        <w:pStyle w:val="BodyTextSpaceAfter"/>
      </w:pPr>
    </w:p>
    <w:p w:rsidR="00C966EB" w:rsidP="00C966EB" w:rsidRDefault="00C966EB" w14:paraId="3419B3B6" w14:textId="77777777">
      <w:pPr>
        <w:sectPr w:rsidR="00C966EB" w:rsidSect="00CA57B7">
          <w:headerReference r:id="rId15" w:type="even"/>
          <w:headerReference r:id="rId16" w:type="default"/>
          <w:footerReference r:id="rId17" w:type="even"/>
          <w:footerReference r:id="rId18" w:type="default"/>
          <w:headerReference r:id="rId19" w:type="first"/>
          <w:pgSz w:w="11906" w:h="16838"/>
          <w:pgMar w:top="1276" w:right="1134" w:bottom="851" w:left="1134" w:header="510" w:footer="510" w:gutter="0"/>
          <w:pgNumType w:start="1"/>
          <w:cols w:space="720"/>
          <w:noEndnote/>
          <w:docGrid w:linePitch="326"/>
        </w:sectPr>
      </w:pPr>
    </w:p>
    <w:p w:rsidRPr="003D6915" w:rsidR="004968FE" w:rsidP="00EA47FD" w:rsidRDefault="00C966EB" w14:paraId="591025FB" w14:textId="77777777">
      <w:pPr>
        <w:pStyle w:val="Heading1"/>
        <w:rPr>
          <w:highlight w:val="yellow"/>
        </w:rPr>
      </w:pPr>
      <w:bookmarkStart w:id="1" w:name="_Ref408237678"/>
      <w:r>
        <w:br w:type="page"/>
      </w:r>
    </w:p>
    <w:p w:rsidR="002C2810" w:rsidP="002C2810" w:rsidRDefault="002C2810" w14:paraId="68496996" w14:textId="77777777">
      <w:pPr>
        <w:pStyle w:val="Heading1"/>
      </w:pPr>
      <w:bookmarkStart w:id="2" w:name="_Toc18917325"/>
      <w:bookmarkStart w:id="3" w:name="_Toc19538138"/>
      <w:bookmarkStart w:id="4" w:name="_Toc430272328"/>
      <w:r>
        <w:lastRenderedPageBreak/>
        <w:t>Introduction</w:t>
      </w:r>
      <w:bookmarkEnd w:id="2"/>
      <w:bookmarkEnd w:id="3"/>
      <w:r>
        <w:t xml:space="preserve"> </w:t>
      </w:r>
    </w:p>
    <w:p w:rsidR="002C2810" w:rsidP="002C2810" w:rsidRDefault="002C2810" w14:paraId="4DB65069" w14:textId="1764E7DB">
      <w:pPr>
        <w:pStyle w:val="BodyTextSpaceAfter"/>
      </w:pPr>
      <w:r w:rsidRPr="00354548">
        <w:t xml:space="preserve">This </w:t>
      </w:r>
      <w:r>
        <w:t>annual Crime Statistics Agency (</w:t>
      </w:r>
      <w:r w:rsidRPr="00CC51AA">
        <w:t>CSA</w:t>
      </w:r>
      <w:r>
        <w:t>)</w:t>
      </w:r>
      <w:r w:rsidRPr="00CC51AA">
        <w:t xml:space="preserve"> </w:t>
      </w:r>
      <w:r w:rsidRPr="00354548">
        <w:t xml:space="preserve">publication presents data on </w:t>
      </w:r>
      <w:r>
        <w:t>unique victims and unique alleged offenders that have come into contact with</w:t>
      </w:r>
      <w:r w:rsidRPr="00354548">
        <w:t xml:space="preserve"> Victoria Police</w:t>
      </w:r>
      <w:r>
        <w:t xml:space="preserve"> (for more information see the </w:t>
      </w:r>
      <w:hyperlink w:history="true" r:id="rId20">
        <w:r w:rsidRPr="00033DC8">
          <w:rPr>
            <w:rStyle w:val="Hyperlink"/>
          </w:rPr>
          <w:t>Explanatory Notes</w:t>
        </w:r>
      </w:hyperlink>
      <w:r>
        <w:t>)</w:t>
      </w:r>
      <w:r w:rsidRPr="00CC51AA">
        <w:t xml:space="preserve">. </w:t>
      </w:r>
    </w:p>
    <w:p w:rsidR="002C2810" w:rsidP="002C2810" w:rsidRDefault="002C2810" w14:paraId="0937D354" w14:textId="2994C729">
      <w:pPr>
        <w:pStyle w:val="BodyTextSpaceAfter"/>
      </w:pPr>
      <w:r w:rsidRPr="002C2810">
        <w:t xml:space="preserve">Data are recorded about the characteristics of people who come into contact with police, irrespective of the number of offences they commit, or the number of incidents they are involved in as either a victim or an </w:t>
      </w:r>
      <w:r w:rsidR="00D020E4">
        <w:t xml:space="preserve">alleged </w:t>
      </w:r>
      <w:r w:rsidRPr="002C2810">
        <w:t>offender. Looking at recorded crime data from this perspective provides a profile of individuals who come into contact with police, their demographic characteristics, and how they compare to the Victorian population.</w:t>
      </w:r>
    </w:p>
    <w:p w:rsidRPr="00354548" w:rsidR="002C2810" w:rsidP="002C2810" w:rsidRDefault="002C2810" w14:paraId="165AD5D2" w14:textId="3DB2E0BB">
      <w:pPr>
        <w:pStyle w:val="BodyTextSpaceAfter"/>
      </w:pPr>
      <w:r w:rsidRPr="00354548">
        <w:t xml:space="preserve">Data </w:t>
      </w:r>
      <w:r>
        <w:t xml:space="preserve">presented in this publication </w:t>
      </w:r>
      <w:r w:rsidRPr="00354548">
        <w:t xml:space="preserve">was extracted from the Victoria Police Law Enforcement Assistance Program (LEAP) database on </w:t>
      </w:r>
      <w:r>
        <w:t xml:space="preserve">the </w:t>
      </w:r>
      <w:r w:rsidRPr="00354548">
        <w:t>18</w:t>
      </w:r>
      <w:r w:rsidRPr="00607A67">
        <w:rPr>
          <w:vertAlign w:val="superscript"/>
        </w:rPr>
        <w:t>th</w:t>
      </w:r>
      <w:r>
        <w:t xml:space="preserve"> day of the month after the reference period. This annual</w:t>
      </w:r>
      <w:r w:rsidRPr="00354548">
        <w:t xml:space="preserve"> publication presents an overview of:</w:t>
      </w:r>
    </w:p>
    <w:p w:rsidRPr="00354548" w:rsidR="002C2810" w:rsidP="002C2810" w:rsidRDefault="002C2810" w14:paraId="592D7D62" w14:textId="4BA9404B">
      <w:pPr>
        <w:pStyle w:val="BulletText"/>
        <w:numPr>
          <w:ilvl w:val="0"/>
          <w:numId w:val="50"/>
        </w:numPr>
      </w:pPr>
      <w:r>
        <w:t>Unique alleged offender</w:t>
      </w:r>
      <w:r w:rsidR="00D020E4">
        <w:t>s</w:t>
      </w:r>
      <w:r>
        <w:t xml:space="preserve"> </w:t>
      </w:r>
    </w:p>
    <w:p w:rsidRPr="00354548" w:rsidR="002C2810" w:rsidP="00342C4C" w:rsidRDefault="002C2810" w14:paraId="6A54899D" w14:textId="37145344">
      <w:pPr>
        <w:pStyle w:val="BulletText"/>
        <w:numPr>
          <w:ilvl w:val="0"/>
          <w:numId w:val="50"/>
        </w:numPr>
      </w:pPr>
      <w:r>
        <w:t>Unique victim</w:t>
      </w:r>
      <w:r w:rsidR="00D020E4">
        <w:t>s</w:t>
      </w:r>
      <w:r w:rsidRPr="00354548">
        <w:t>.</w:t>
      </w:r>
    </w:p>
    <w:p w:rsidRPr="00354548" w:rsidR="002C2810" w:rsidP="002C2810" w:rsidRDefault="002C2810" w14:paraId="4830389B" w14:textId="77777777">
      <w:pPr>
        <w:pStyle w:val="Spacer"/>
      </w:pPr>
    </w:p>
    <w:p w:rsidR="002C2810" w:rsidP="002C2810" w:rsidRDefault="002C2810" w14:paraId="7CF873B6" w14:textId="77777777">
      <w:pPr>
        <w:pStyle w:val="Spacer"/>
      </w:pPr>
    </w:p>
    <w:p w:rsidR="002C2810" w:rsidP="002C2810" w:rsidRDefault="002C2810" w14:paraId="4CDB4BBE" w14:textId="77777777">
      <w:pPr>
        <w:pStyle w:val="BodyTextSpaceAfter"/>
      </w:pPr>
      <w:r>
        <w:t xml:space="preserve">The CSA would like to acknowledge the Victoria Police staff and officers who assisted in the provision of data and information. </w:t>
      </w:r>
    </w:p>
    <w:p w:rsidRPr="003D6915" w:rsidR="002C2810" w:rsidP="002C2810" w:rsidRDefault="002C2810" w14:paraId="13F58CB2" w14:textId="77777777">
      <w:pPr>
        <w:pStyle w:val="BodyTextSpaceAfter"/>
        <w:rPr>
          <w:highlight w:val="yellow"/>
        </w:rPr>
      </w:pPr>
      <w:r w:rsidRPr="003D6915">
        <w:rPr>
          <w:highlight w:val="yellow"/>
        </w:rPr>
        <w:br w:type="page"/>
      </w:r>
    </w:p>
    <w:p w:rsidR="002C2810" w:rsidP="002C2810" w:rsidRDefault="002C2810" w14:paraId="4E2345E1" w14:textId="77777777">
      <w:pPr>
        <w:rPr>
          <w:color w:val="000000" w:themeColor="text1"/>
        </w:rPr>
        <w:sectPr w:rsidR="002C2810" w:rsidSect="005D6339">
          <w:headerReference r:id="rId21" w:type="even"/>
          <w:headerReference r:id="rId22" w:type="default"/>
          <w:footerReference r:id="rId23" w:type="even"/>
          <w:footerReference r:id="rId24" w:type="default"/>
          <w:headerReference r:id="rId25" w:type="first"/>
          <w:type w:val="continuous"/>
          <w:pgSz w:w="11906" w:h="16838"/>
          <w:pgMar w:top="1276" w:right="1134" w:bottom="851" w:left="1134" w:header="510" w:footer="510" w:gutter="0"/>
          <w:cols w:space="720"/>
          <w:noEndnote/>
          <w:docGrid w:linePitch="326"/>
        </w:sectPr>
      </w:pPr>
    </w:p>
    <w:p w:rsidR="007D2B56" w:rsidP="007D2B56" w:rsidRDefault="007D2B56" w14:paraId="4FB148E4" w14:textId="248C371D">
      <w:pPr>
        <w:pStyle w:val="Heading1"/>
      </w:pPr>
      <w:bookmarkStart w:id="5" w:name="_Toc19538139"/>
      <w:r>
        <w:lastRenderedPageBreak/>
        <w:t>1. Unique alleged offenders in Victoria</w:t>
      </w:r>
      <w:bookmarkEnd w:id="4"/>
      <w:bookmarkEnd w:id="5"/>
    </w:p>
    <w:p w:rsidRPr="00DF6E53" w:rsidR="007D2B56" w:rsidP="007D2B56" w:rsidRDefault="007D2B56" w14:paraId="5F4637E8" w14:textId="77777777">
      <w:pPr>
        <w:pStyle w:val="Spacer"/>
        <w:rPr>
          <w:color w:val="auto"/>
        </w:rPr>
      </w:pPr>
    </w:p>
    <w:p w:rsidRPr="0085029E" w:rsidR="007D2B56" w:rsidP="007D2B56" w:rsidRDefault="007D2B56" w14:paraId="23DB9A65" w14:textId="79B67E5F">
      <w:pPr>
        <w:pStyle w:val="BodyTextSpaceAfter"/>
        <w:rPr>
          <w:color w:val="auto"/>
        </w:rPr>
      </w:pPr>
      <w:r w:rsidRPr="0085029E">
        <w:rPr>
          <w:color w:val="auto"/>
        </w:rPr>
        <w:t xml:space="preserve">In the year ending </w:t>
      </w:r>
      <w:r w:rsidR="005E3FBA">
        <w:rPr>
          <w:color w:val="auto"/>
        </w:rPr>
        <w:t xml:space="preserve">30 </w:t>
      </w:r>
      <w:r w:rsidRPr="0085029E">
        <w:rPr>
          <w:color w:val="auto"/>
        </w:rPr>
        <w:t>June 201</w:t>
      </w:r>
      <w:r w:rsidRPr="0085029E" w:rsidR="0048134C">
        <w:rPr>
          <w:color w:val="auto"/>
        </w:rPr>
        <w:t>9</w:t>
      </w:r>
      <w:r w:rsidRPr="0085029E">
        <w:rPr>
          <w:color w:val="auto"/>
        </w:rPr>
        <w:t xml:space="preserve">, there were </w:t>
      </w:r>
      <w:r w:rsidRPr="0085029E" w:rsidR="0085029E">
        <w:rPr>
          <w:color w:val="auto"/>
        </w:rPr>
        <w:t>84,989</w:t>
      </w:r>
      <w:r w:rsidRPr="0085029E">
        <w:rPr>
          <w:color w:val="auto"/>
        </w:rPr>
        <w:t xml:space="preserve"> unique alleged offenders recorded by Victoria Police, up </w:t>
      </w:r>
      <w:r w:rsidRPr="0085029E" w:rsidR="0085029E">
        <w:rPr>
          <w:color w:val="auto"/>
        </w:rPr>
        <w:t>6.3</w:t>
      </w:r>
      <w:r w:rsidRPr="0085029E">
        <w:rPr>
          <w:color w:val="auto"/>
        </w:rPr>
        <w:t>% (</w:t>
      </w:r>
      <w:r w:rsidRPr="0085029E" w:rsidR="0085029E">
        <w:rPr>
          <w:color w:val="auto"/>
        </w:rPr>
        <w:t>5,048</w:t>
      </w:r>
      <w:r w:rsidRPr="0085029E">
        <w:rPr>
          <w:color w:val="auto"/>
        </w:rPr>
        <w:t xml:space="preserve"> unique alleged offenders) compared to the same period last year. This is the highest number of unique </w:t>
      </w:r>
      <w:r w:rsidRPr="0085029E" w:rsidR="002E445C">
        <w:rPr>
          <w:color w:val="auto"/>
        </w:rPr>
        <w:t xml:space="preserve">alleged </w:t>
      </w:r>
      <w:r w:rsidRPr="0085029E">
        <w:rPr>
          <w:color w:val="auto"/>
        </w:rPr>
        <w:t>offenders recorded</w:t>
      </w:r>
      <w:r w:rsidRPr="0085029E" w:rsidR="00CF2A73">
        <w:rPr>
          <w:color w:val="auto"/>
        </w:rPr>
        <w:t xml:space="preserve"> in</w:t>
      </w:r>
      <w:r w:rsidRPr="0085029E">
        <w:rPr>
          <w:color w:val="auto"/>
        </w:rPr>
        <w:t xml:space="preserve"> </w:t>
      </w:r>
      <w:r w:rsidRPr="0085029E" w:rsidR="00CF2A73">
        <w:rPr>
          <w:color w:val="auto"/>
        </w:rPr>
        <w:t>CSA data holdings, which go back to July 2004.</w:t>
      </w:r>
    </w:p>
    <w:p w:rsidRPr="002940AE" w:rsidR="007D2B56" w:rsidP="007D2B56" w:rsidRDefault="007D2B56" w14:paraId="3ABEE9BC" w14:textId="6DC72632">
      <w:pPr>
        <w:pStyle w:val="BodyTextSpaceAfter"/>
        <w:rPr>
          <w:color w:val="auto"/>
        </w:rPr>
      </w:pPr>
      <w:r w:rsidRPr="002940AE">
        <w:rPr>
          <w:color w:val="auto"/>
        </w:rPr>
        <w:t xml:space="preserve">The offender rate </w:t>
      </w:r>
      <w:r w:rsidR="005E3FBA">
        <w:rPr>
          <w:color w:val="auto"/>
        </w:rPr>
        <w:t>increased</w:t>
      </w:r>
      <w:r w:rsidRPr="002940AE">
        <w:rPr>
          <w:color w:val="auto"/>
        </w:rPr>
        <w:t xml:space="preserve"> </w:t>
      </w:r>
      <w:r w:rsidRPr="002940AE" w:rsidR="002940AE">
        <w:rPr>
          <w:color w:val="auto"/>
        </w:rPr>
        <w:t>4.1</w:t>
      </w:r>
      <w:r w:rsidRPr="002940AE">
        <w:rPr>
          <w:color w:val="auto"/>
        </w:rPr>
        <w:t>% to 1,</w:t>
      </w:r>
      <w:r w:rsidRPr="002940AE" w:rsidR="002940AE">
        <w:rPr>
          <w:color w:val="auto"/>
        </w:rPr>
        <w:t>472.1</w:t>
      </w:r>
      <w:r w:rsidRPr="002940AE">
        <w:rPr>
          <w:color w:val="auto"/>
        </w:rPr>
        <w:t xml:space="preserve"> per 100,000 </w:t>
      </w:r>
      <w:r w:rsidRPr="002940AE" w:rsidR="006975A0">
        <w:rPr>
          <w:color w:val="auto"/>
        </w:rPr>
        <w:t>population</w:t>
      </w:r>
      <w:r w:rsidR="005E3FBA">
        <w:rPr>
          <w:color w:val="auto"/>
        </w:rPr>
        <w:t xml:space="preserve"> in the past 12 months</w:t>
      </w:r>
      <w:r w:rsidRPr="002940AE">
        <w:rPr>
          <w:color w:val="auto"/>
        </w:rPr>
        <w:t xml:space="preserve">, equating to approximately 1.5 unique alleged offenders for every 100 people across the state. </w:t>
      </w:r>
    </w:p>
    <w:p w:rsidRPr="00F334A0" w:rsidR="007D2B56" w:rsidP="007D2B56" w:rsidRDefault="007D2B56" w14:paraId="4919B15B" w14:textId="77777777">
      <w:pPr>
        <w:widowControl w:val="false"/>
        <w:suppressAutoHyphens/>
        <w:autoSpaceDE w:val="false"/>
        <w:autoSpaceDN w:val="false"/>
        <w:adjustRightInd w:val="false"/>
        <w:spacing w:after="120" w:line="250" w:lineRule="atLeast"/>
        <w:textAlignment w:val="center"/>
        <w:outlineLvl w:val="3"/>
        <w:rPr>
          <w:rFonts w:ascii="Roboto Condensed" w:hAnsi="Roboto Condensed" w:cs="TradeGothic-Light"/>
          <w:b/>
          <w:color w:val="000000" w:themeColor="text1"/>
          <w:sz w:val="22"/>
          <w:szCs w:val="22"/>
          <w:lang w:val="en-GB"/>
        </w:rPr>
      </w:pPr>
      <w:r w:rsidRPr="00F334A0">
        <w:rPr>
          <w:rFonts w:ascii="Roboto Condensed" w:hAnsi="Roboto Condensed" w:cs="TradeGothic-Light"/>
          <w:b/>
          <w:color w:val="000000" w:themeColor="text1"/>
          <w:sz w:val="22"/>
          <w:szCs w:val="22"/>
          <w:lang w:val="en-GB"/>
        </w:rPr>
        <w:t xml:space="preserve">Unique alleged offenders, </w:t>
      </w:r>
      <w:r>
        <w:rPr>
          <w:rFonts w:ascii="Roboto Condensed" w:hAnsi="Roboto Condensed" w:cs="TradeGothic-Light"/>
          <w:b/>
          <w:color w:val="000000" w:themeColor="text1"/>
          <w:sz w:val="22"/>
          <w:szCs w:val="22"/>
          <w:lang w:val="en-GB"/>
        </w:rPr>
        <w:t>10 year trend</w:t>
      </w:r>
    </w:p>
    <w:p w:rsidR="007D2B56" w:rsidP="007D2B56" w:rsidRDefault="001417CF" w14:paraId="79B5C4A6" w14:textId="34EBF8E0">
      <w:pPr>
        <w:pStyle w:val="BodyTextSpaceAfter"/>
        <w:jc w:val="center"/>
        <w:rPr>
          <w:b/>
          <w:sz w:val="28"/>
        </w:rPr>
      </w:pPr>
      <w:r>
        <w:rPr>
          <w:noProof/>
          <w:lang w:val="en-AU" w:eastAsia="en-AU"/>
        </w:rPr>
        <w:drawing>
          <wp:inline distT="0" distB="0" distL="0" distR="0">
            <wp:extent cx="6009238" cy="3348000"/>
            <wp:effectExtent l="0" t="0" r="10795" b="5080"/>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2" name="Chart 2"/>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chart">
                <ns0:chart xmlns:ns0="http://schemas.openxmlformats.org/drawingml/2006/chart" r:id="rId26"/>
              </a:graphicData>
            </a:graphic>
          </wp:inline>
        </w:drawing>
      </w:r>
    </w:p>
    <w:p w:rsidR="007D2B56" w:rsidP="007D2B56" w:rsidRDefault="007D2B56" w14:paraId="4D461747" w14:textId="77777777">
      <w:pPr>
        <w:rPr>
          <w:rFonts w:ascii="Roboto Condensed" w:hAnsi="Roboto Condensed" w:cs="TradeGothic-Light"/>
          <w:color w:val="7CBAC0"/>
          <w:sz w:val="32"/>
          <w:szCs w:val="26"/>
          <w:lang w:val="en-GB"/>
        </w:rPr>
      </w:pPr>
      <w:bookmarkStart w:id="6" w:name="_Toc430272329"/>
      <w:r>
        <w:br w:type="page"/>
      </w:r>
    </w:p>
    <w:p w:rsidR="007D2B56" w:rsidP="007D2B56" w:rsidRDefault="007D2B56" w14:paraId="14F7EC1E" w14:textId="386B07BF">
      <w:pPr>
        <w:pStyle w:val="Heading2"/>
      </w:pPr>
      <w:bookmarkStart w:id="7" w:name="_Toc19538140"/>
      <w:r>
        <w:lastRenderedPageBreak/>
        <w:t>1.1</w:t>
      </w:r>
      <w:r w:rsidRPr="00401594">
        <w:t xml:space="preserve"> Sex and age of </w:t>
      </w:r>
      <w:r>
        <w:t xml:space="preserve">unique </w:t>
      </w:r>
      <w:r w:rsidRPr="00401594">
        <w:t>alleged offenders</w:t>
      </w:r>
      <w:bookmarkEnd w:id="6"/>
      <w:bookmarkEnd w:id="7"/>
    </w:p>
    <w:p w:rsidRPr="00083E6B" w:rsidR="007D2B56" w:rsidP="007D2B56" w:rsidRDefault="007D2B56" w14:paraId="0629EEE7" w14:textId="4AA7D150">
      <w:pPr>
        <w:pStyle w:val="BodyTextSpaceAfter"/>
        <w:rPr>
          <w:color w:val="auto"/>
        </w:rPr>
      </w:pPr>
      <w:r w:rsidRPr="00083E6B">
        <w:rPr>
          <w:color w:val="auto"/>
        </w:rPr>
        <w:t xml:space="preserve">In the year ending </w:t>
      </w:r>
      <w:r w:rsidR="005E3FBA">
        <w:rPr>
          <w:color w:val="auto"/>
        </w:rPr>
        <w:t xml:space="preserve">30 </w:t>
      </w:r>
      <w:r w:rsidRPr="00083E6B">
        <w:rPr>
          <w:color w:val="auto"/>
        </w:rPr>
        <w:t>June 201</w:t>
      </w:r>
      <w:r w:rsidRPr="00083E6B" w:rsidR="0048134C">
        <w:rPr>
          <w:color w:val="auto"/>
        </w:rPr>
        <w:t>9</w:t>
      </w:r>
      <w:r w:rsidRPr="00083E6B">
        <w:rPr>
          <w:color w:val="auto"/>
        </w:rPr>
        <w:t xml:space="preserve">, of the </w:t>
      </w:r>
      <w:r w:rsidRPr="00083E6B" w:rsidR="002940AE">
        <w:rPr>
          <w:color w:val="auto"/>
        </w:rPr>
        <w:t>84,965</w:t>
      </w:r>
      <w:r w:rsidRPr="00083E6B">
        <w:rPr>
          <w:color w:val="auto"/>
        </w:rPr>
        <w:t xml:space="preserve"> alleged offenders where a sex was recorded, </w:t>
      </w:r>
      <w:r w:rsidRPr="00083E6B" w:rsidR="002940AE">
        <w:rPr>
          <w:color w:val="auto"/>
        </w:rPr>
        <w:t>65,092</w:t>
      </w:r>
      <w:r w:rsidRPr="00083E6B">
        <w:rPr>
          <w:color w:val="auto"/>
        </w:rPr>
        <w:t xml:space="preserve"> (</w:t>
      </w:r>
      <w:r w:rsidRPr="00083E6B" w:rsidR="002940AE">
        <w:rPr>
          <w:color w:val="auto"/>
        </w:rPr>
        <w:t>76.6</w:t>
      </w:r>
      <w:r w:rsidRPr="00083E6B">
        <w:rPr>
          <w:color w:val="auto"/>
        </w:rPr>
        <w:t xml:space="preserve">%) were male and </w:t>
      </w:r>
      <w:r w:rsidRPr="00083E6B" w:rsidR="002940AE">
        <w:rPr>
          <w:color w:val="auto"/>
        </w:rPr>
        <w:t>19,873</w:t>
      </w:r>
      <w:r w:rsidRPr="00083E6B">
        <w:rPr>
          <w:color w:val="auto"/>
        </w:rPr>
        <w:t xml:space="preserve"> (</w:t>
      </w:r>
      <w:r w:rsidRPr="00083E6B" w:rsidR="002940AE">
        <w:rPr>
          <w:color w:val="auto"/>
        </w:rPr>
        <w:t>23.4</w:t>
      </w:r>
      <w:r w:rsidRPr="00083E6B">
        <w:rPr>
          <w:color w:val="auto"/>
        </w:rPr>
        <w:t>%) were female. The</w:t>
      </w:r>
      <w:r w:rsidRPr="00083E6B" w:rsidR="00083E6B">
        <w:rPr>
          <w:color w:val="auto"/>
        </w:rPr>
        <w:t xml:space="preserve"> number</w:t>
      </w:r>
      <w:r w:rsidRPr="00083E6B" w:rsidR="002940AE">
        <w:rPr>
          <w:color w:val="auto"/>
        </w:rPr>
        <w:t xml:space="preserve"> of male alleged offenders</w:t>
      </w:r>
      <w:r w:rsidRPr="00083E6B">
        <w:rPr>
          <w:color w:val="auto"/>
        </w:rPr>
        <w:t xml:space="preserve"> have increased </w:t>
      </w:r>
      <w:r w:rsidRPr="00083E6B" w:rsidR="002940AE">
        <w:rPr>
          <w:color w:val="auto"/>
        </w:rPr>
        <w:t xml:space="preserve">5.4% (3,331 </w:t>
      </w:r>
      <w:r w:rsidRPr="00083E6B" w:rsidR="001C6725">
        <w:rPr>
          <w:color w:val="auto"/>
        </w:rPr>
        <w:t xml:space="preserve">alleged </w:t>
      </w:r>
      <w:r w:rsidRPr="00083E6B">
        <w:rPr>
          <w:color w:val="auto"/>
        </w:rPr>
        <w:t xml:space="preserve">offenders) </w:t>
      </w:r>
      <w:r w:rsidR="005E3FBA">
        <w:rPr>
          <w:color w:val="auto"/>
        </w:rPr>
        <w:t xml:space="preserve">in the last 12 months. In the past </w:t>
      </w:r>
      <w:r w:rsidRPr="00083E6B" w:rsidR="00083E6B">
        <w:rPr>
          <w:color w:val="auto"/>
        </w:rPr>
        <w:t>five year</w:t>
      </w:r>
      <w:r w:rsidR="005E3FBA">
        <w:rPr>
          <w:color w:val="auto"/>
        </w:rPr>
        <w:t>s there has been a</w:t>
      </w:r>
      <w:r w:rsidRPr="00083E6B" w:rsidR="002940AE">
        <w:rPr>
          <w:color w:val="auto"/>
        </w:rPr>
        <w:t xml:space="preserve"> 5.0% </w:t>
      </w:r>
      <w:r w:rsidR="006143B6">
        <w:rPr>
          <w:color w:val="auto"/>
        </w:rPr>
        <w:t xml:space="preserve">increase unique alleged offenders, </w:t>
      </w:r>
      <w:r w:rsidRPr="00083E6B" w:rsidR="002940AE">
        <w:rPr>
          <w:color w:val="auto"/>
        </w:rPr>
        <w:t xml:space="preserve">up </w:t>
      </w:r>
      <w:r w:rsidRPr="00083E6B" w:rsidR="006143B6">
        <w:rPr>
          <w:color w:val="auto"/>
        </w:rPr>
        <w:t xml:space="preserve">3,109 alleged offenders </w:t>
      </w:r>
      <w:r w:rsidRPr="00083E6B" w:rsidR="002940AE">
        <w:rPr>
          <w:color w:val="auto"/>
        </w:rPr>
        <w:t>from 61,983</w:t>
      </w:r>
      <w:r w:rsidR="006143B6">
        <w:rPr>
          <w:color w:val="auto"/>
        </w:rPr>
        <w:t xml:space="preserve"> in the year ending 30 June 2015</w:t>
      </w:r>
      <w:r w:rsidRPr="00083E6B" w:rsidR="002940AE">
        <w:rPr>
          <w:color w:val="auto"/>
        </w:rPr>
        <w:t xml:space="preserve">. </w:t>
      </w:r>
      <w:r w:rsidRPr="00083E6B" w:rsidR="00083E6B">
        <w:rPr>
          <w:color w:val="auto"/>
        </w:rPr>
        <w:t xml:space="preserve">The number of female alleged offenders have increased 9.4% (1,708 alleged offenders) in the last 12 months, while the five year increase is 15.9% (2,728 alleged offenders) up from 17,145. </w:t>
      </w:r>
    </w:p>
    <w:p w:rsidRPr="00F334A0" w:rsidR="007D2B56" w:rsidP="007D2B56" w:rsidRDefault="00E978A2" w14:paraId="11BEC9A5" w14:textId="749726BC">
      <w:pPr>
        <w:pStyle w:val="BodyTextSpaceAfter"/>
        <w:spacing w:after="0"/>
        <w:rPr>
          <w:rFonts w:ascii="Roboto Condensed" w:hAnsi="Roboto Condensed"/>
          <w:b/>
          <w:color w:val="000000" w:themeColor="text1"/>
        </w:rPr>
      </w:pPr>
      <w:r>
        <w:rPr>
          <w:rFonts w:ascii="Roboto Condensed" w:hAnsi="Roboto Condensed"/>
          <w:b/>
          <w:color w:val="000000" w:themeColor="text1"/>
        </w:rPr>
        <w:t>P</w:t>
      </w:r>
      <w:r w:rsidRPr="00F334A0" w:rsidR="007D2B56">
        <w:rPr>
          <w:rFonts w:ascii="Roboto Condensed" w:hAnsi="Roboto Condensed"/>
          <w:b/>
          <w:color w:val="000000" w:themeColor="text1"/>
        </w:rPr>
        <w:t xml:space="preserve">roportion of unique alleged offenders by sex, July </w:t>
      </w:r>
      <w:r w:rsidR="007D2B56">
        <w:rPr>
          <w:rFonts w:ascii="Roboto Condensed" w:hAnsi="Roboto Condensed"/>
          <w:b/>
          <w:color w:val="000000" w:themeColor="text1"/>
        </w:rPr>
        <w:t>201</w:t>
      </w:r>
      <w:r w:rsidR="0048134C">
        <w:rPr>
          <w:rFonts w:ascii="Roboto Condensed" w:hAnsi="Roboto Condensed"/>
          <w:b/>
          <w:color w:val="000000" w:themeColor="text1"/>
        </w:rPr>
        <w:t>4</w:t>
      </w:r>
      <w:r w:rsidRPr="00F334A0" w:rsidR="007D2B56">
        <w:rPr>
          <w:rFonts w:ascii="Roboto Condensed" w:hAnsi="Roboto Condensed"/>
          <w:b/>
          <w:color w:val="000000" w:themeColor="text1"/>
        </w:rPr>
        <w:t xml:space="preserve"> to June </w:t>
      </w:r>
      <w:r w:rsidR="007D2B56">
        <w:rPr>
          <w:rFonts w:ascii="Roboto Condensed" w:hAnsi="Roboto Condensed"/>
          <w:b/>
          <w:color w:val="000000" w:themeColor="text1"/>
        </w:rPr>
        <w:t>201</w:t>
      </w:r>
      <w:r w:rsidR="0048134C">
        <w:rPr>
          <w:rFonts w:ascii="Roboto Condensed" w:hAnsi="Roboto Condensed"/>
          <w:b/>
          <w:color w:val="000000" w:themeColor="text1"/>
        </w:rPr>
        <w:t>9</w:t>
      </w:r>
    </w:p>
    <w:p w:rsidR="007D2B56" w:rsidP="007D2B56" w:rsidRDefault="002940AE" w14:paraId="5F4A7B7B" w14:textId="1FDDFCBC">
      <w:pPr>
        <w:pStyle w:val="BodyTextSpaceAfter"/>
        <w:jc w:val="center"/>
        <w:rPr>
          <w:b/>
          <w:color w:val="FF0000"/>
        </w:rPr>
      </w:pPr>
      <w:r>
        <w:rPr>
          <w:noProof/>
          <w:lang w:val="en-AU" w:eastAsia="en-AU"/>
        </w:rPr>
        <w:drawing>
          <wp:inline distT="0" distB="0" distL="0" distR="0">
            <wp:extent cx="6008400" cy="3348000"/>
            <wp:effectExtent l="0" t="0" r="11430" b="5080"/>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12" name="Chart 12"/>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chart">
                <ns1:chart xmlns:ns1="http://schemas.openxmlformats.org/drawingml/2006/chart" r:id="rId27"/>
              </a:graphicData>
            </a:graphic>
          </wp:inline>
        </w:drawing>
      </w:r>
    </w:p>
    <w:p w:rsidR="007D2B56" w:rsidP="007D2B56" w:rsidRDefault="00CF2A73" w14:paraId="477014E5" w14:textId="53C61476">
      <w:pPr>
        <w:pStyle w:val="BodyTextSpaceAfter"/>
        <w:rPr>
          <w:color w:val="auto"/>
        </w:rPr>
      </w:pPr>
      <w:r w:rsidRPr="00105D2B">
        <w:rPr>
          <w:color w:val="auto"/>
        </w:rPr>
        <w:t>In the last 12 months t</w:t>
      </w:r>
      <w:r w:rsidRPr="00105D2B" w:rsidR="007D2B56">
        <w:rPr>
          <w:color w:val="auto"/>
        </w:rPr>
        <w:t>he average age for alleged offenders where sex was recorded</w:t>
      </w:r>
      <w:r w:rsidRPr="00105D2B">
        <w:rPr>
          <w:color w:val="auto"/>
        </w:rPr>
        <w:t xml:space="preserve"> has increased to 33.</w:t>
      </w:r>
      <w:r w:rsidRPr="00105D2B" w:rsidR="00105D2B">
        <w:rPr>
          <w:color w:val="auto"/>
        </w:rPr>
        <w:t>9</w:t>
      </w:r>
      <w:r w:rsidRPr="00105D2B">
        <w:rPr>
          <w:color w:val="auto"/>
        </w:rPr>
        <w:t xml:space="preserve"> years, this is the highest </w:t>
      </w:r>
      <w:r w:rsidRPr="0085029E" w:rsidR="002427FE">
        <w:rPr>
          <w:color w:val="auto"/>
        </w:rPr>
        <w:t>in CSA data holdings, which go back to July 2004</w:t>
      </w:r>
      <w:r w:rsidRPr="00105D2B">
        <w:rPr>
          <w:color w:val="auto"/>
        </w:rPr>
        <w:t xml:space="preserve">. </w:t>
      </w:r>
      <w:r w:rsidRPr="00105D2B" w:rsidR="007D2B56">
        <w:rPr>
          <w:color w:val="auto"/>
        </w:rPr>
        <w:t>The average age for male</w:t>
      </w:r>
      <w:r w:rsidRPr="00105D2B" w:rsidR="002E445C">
        <w:rPr>
          <w:color w:val="auto"/>
        </w:rPr>
        <w:t xml:space="preserve"> alleged</w:t>
      </w:r>
      <w:r w:rsidRPr="00105D2B" w:rsidR="007D2B56">
        <w:rPr>
          <w:color w:val="auto"/>
        </w:rPr>
        <w:t xml:space="preserve"> offenders was </w:t>
      </w:r>
      <w:r w:rsidRPr="00105D2B" w:rsidR="00105D2B">
        <w:rPr>
          <w:color w:val="auto"/>
        </w:rPr>
        <w:t>34.2</w:t>
      </w:r>
      <w:r w:rsidRPr="00105D2B" w:rsidR="007D2B56">
        <w:rPr>
          <w:color w:val="auto"/>
        </w:rPr>
        <w:t xml:space="preserve"> years and the average age for females was </w:t>
      </w:r>
      <w:r w:rsidRPr="00105D2B" w:rsidR="00105D2B">
        <w:rPr>
          <w:color w:val="auto"/>
        </w:rPr>
        <w:t>33.2</w:t>
      </w:r>
      <w:r w:rsidRPr="00105D2B" w:rsidR="007D2B56">
        <w:rPr>
          <w:color w:val="auto"/>
        </w:rPr>
        <w:t xml:space="preserve"> years.</w:t>
      </w:r>
      <w:r w:rsidRPr="00105D2B" w:rsidR="006A77A3">
        <w:rPr>
          <w:color w:val="auto"/>
        </w:rPr>
        <w:t xml:space="preserve"> This is the highest average age for both males and females </w:t>
      </w:r>
      <w:r w:rsidR="00EC704D">
        <w:rPr>
          <w:color w:val="auto"/>
        </w:rPr>
        <w:t>in CSA data holdings</w:t>
      </w:r>
      <w:r w:rsidRPr="00105D2B" w:rsidR="006A77A3">
        <w:rPr>
          <w:color w:val="auto"/>
        </w:rPr>
        <w:t>.</w:t>
      </w:r>
    </w:p>
    <w:p w:rsidR="00105D2B" w:rsidRDefault="00105D2B" w14:paraId="7F276BC6" w14:textId="77777777">
      <w:pPr>
        <w:rPr>
          <w:rFonts w:ascii="Roboto Condensed" w:hAnsi="Roboto Condensed" w:cs="TradeGothic-Light"/>
          <w:b/>
          <w:color w:val="000000" w:themeColor="text1"/>
          <w:sz w:val="22"/>
          <w:szCs w:val="22"/>
          <w:lang w:val="en-GB"/>
        </w:rPr>
      </w:pPr>
      <w:r>
        <w:rPr>
          <w:rFonts w:ascii="Roboto Condensed" w:hAnsi="Roboto Condensed"/>
          <w:b/>
          <w:color w:val="000000" w:themeColor="text1"/>
        </w:rPr>
        <w:br w:type="page"/>
      </w:r>
    </w:p>
    <w:p w:rsidR="00105D2B" w:rsidP="00105D2B" w:rsidRDefault="00105D2B" w14:paraId="5BBF9DD1" w14:textId="3697F890">
      <w:pPr>
        <w:pStyle w:val="BodyTextSpaceAfter"/>
        <w:spacing w:after="0"/>
        <w:rPr>
          <w:rFonts w:ascii="Roboto Condensed" w:hAnsi="Roboto Condensed"/>
          <w:b/>
          <w:color w:val="000000" w:themeColor="text1"/>
        </w:rPr>
      </w:pPr>
      <w:r w:rsidRPr="00F334A0">
        <w:rPr>
          <w:rFonts w:ascii="Roboto Condensed" w:hAnsi="Roboto Condensed"/>
          <w:b/>
          <w:color w:val="000000" w:themeColor="text1"/>
        </w:rPr>
        <w:lastRenderedPageBreak/>
        <w:t xml:space="preserve">Unique alleged offenders by sex and age, July </w:t>
      </w:r>
      <w:r>
        <w:rPr>
          <w:rFonts w:ascii="Roboto Condensed" w:hAnsi="Roboto Condensed"/>
          <w:b/>
          <w:color w:val="000000" w:themeColor="text1"/>
        </w:rPr>
        <w:t>2018</w:t>
      </w:r>
      <w:r w:rsidRPr="00F334A0">
        <w:rPr>
          <w:rFonts w:ascii="Roboto Condensed" w:hAnsi="Roboto Condensed"/>
          <w:b/>
          <w:color w:val="000000" w:themeColor="text1"/>
        </w:rPr>
        <w:t xml:space="preserve"> to June </w:t>
      </w:r>
      <w:r>
        <w:rPr>
          <w:rFonts w:ascii="Roboto Condensed" w:hAnsi="Roboto Condensed"/>
          <w:b/>
          <w:color w:val="000000" w:themeColor="text1"/>
        </w:rPr>
        <w:t>2019</w:t>
      </w:r>
    </w:p>
    <w:p w:rsidR="00105D2B" w:rsidP="00105D2B" w:rsidRDefault="00105D2B" w14:paraId="611631C4" w14:textId="77777777">
      <w:pPr>
        <w:pStyle w:val="BodyTextSpaceAfter"/>
        <w:spacing w:after="0"/>
        <w:rPr>
          <w:rFonts w:ascii="Roboto Condensed" w:hAnsi="Roboto Condensed"/>
          <w:b/>
          <w:color w:val="000000" w:themeColor="text1"/>
          <w:sz w:val="28"/>
        </w:rPr>
      </w:pPr>
      <w:r w:rsidRPr="007D4B4D">
        <w:rPr>
          <w:noProof/>
          <w:lang w:eastAsia="en-AU"/>
        </w:rPr>
        <w:t xml:space="preserve"> </w:t>
      </w:r>
      <w:r>
        <w:rPr>
          <w:noProof/>
          <w:lang w:val="en-AU" w:eastAsia="en-AU"/>
        </w:rPr>
        <w:drawing>
          <wp:inline distT="0" distB="0" distL="0" distR="0">
            <wp:extent cx="6008400" cy="3348000"/>
            <wp:effectExtent l="0" t="0" r="11430" b="5080"/>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18" name="Chart 18"/>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chart">
                <ns2:chart xmlns:ns2="http://schemas.openxmlformats.org/drawingml/2006/chart" r:id="rId28"/>
              </a:graphicData>
            </a:graphic>
          </wp:inline>
        </w:drawing>
      </w:r>
    </w:p>
    <w:p w:rsidRPr="00105D2B" w:rsidR="00105D2B" w:rsidP="00105D2B" w:rsidRDefault="00105D2B" w14:paraId="2852F87D" w14:textId="665F28D2">
      <w:pPr>
        <w:pStyle w:val="BodyTextSpaceAfter"/>
        <w:rPr>
          <w:color w:val="auto"/>
        </w:rPr>
      </w:pPr>
      <w:r w:rsidRPr="00105D2B">
        <w:rPr>
          <w:color w:val="auto"/>
        </w:rPr>
        <w:t>The age group with the highest number of alleged offenders in the current year was 25–29 years. This age group accounted for 12</w:t>
      </w:r>
      <w:r w:rsidR="00CA3680">
        <w:rPr>
          <w:color w:val="auto"/>
        </w:rPr>
        <w:t>,</w:t>
      </w:r>
      <w:r w:rsidRPr="00105D2B">
        <w:rPr>
          <w:color w:val="auto"/>
        </w:rPr>
        <w:t>243 unique alleged offenders</w:t>
      </w:r>
      <w:r w:rsidRPr="00105D2B" w:rsidDel="00DB36AF">
        <w:rPr>
          <w:color w:val="auto"/>
        </w:rPr>
        <w:t xml:space="preserve"> </w:t>
      </w:r>
      <w:r w:rsidRPr="00105D2B">
        <w:rPr>
          <w:color w:val="auto"/>
        </w:rPr>
        <w:t>(14.4%). There has been a trend over the last five years of a decreasing proportion of alleged offenders under the age of 2</w:t>
      </w:r>
      <w:r w:rsidR="005901E8">
        <w:rPr>
          <w:color w:val="auto"/>
        </w:rPr>
        <w:t>5</w:t>
      </w:r>
      <w:r w:rsidRPr="00105D2B">
        <w:rPr>
          <w:color w:val="auto"/>
        </w:rPr>
        <w:t xml:space="preserve"> years (from 33.8% to 28.1%) and an increase in the proportion of offenders aged 25 years or older (65.3% to 70.9%). </w:t>
      </w:r>
    </w:p>
    <w:p w:rsidRPr="00C61C30" w:rsidR="007D2B56" w:rsidP="007D2B56" w:rsidRDefault="0003686E" w14:paraId="695E15BE" w14:textId="5CB755D1">
      <w:pPr>
        <w:pStyle w:val="BodyTextSpaceAfter"/>
        <w:spacing w:after="0"/>
        <w:rPr>
          <w:color w:val="auto"/>
        </w:rPr>
      </w:pPr>
      <w:r>
        <w:rPr>
          <w:rFonts w:ascii="Roboto Condensed" w:hAnsi="Roboto Condensed"/>
          <w:b/>
          <w:color w:val="000000" w:themeColor="text1"/>
        </w:rPr>
        <w:t>P</w:t>
      </w:r>
      <w:r w:rsidRPr="00F334A0" w:rsidR="007D2B56">
        <w:rPr>
          <w:rFonts w:ascii="Roboto Condensed" w:hAnsi="Roboto Condensed"/>
          <w:b/>
          <w:color w:val="000000" w:themeColor="text1"/>
        </w:rPr>
        <w:t xml:space="preserve">roportion of unique alleged offenders by age group, July </w:t>
      </w:r>
      <w:r w:rsidR="007D2B56">
        <w:rPr>
          <w:rFonts w:ascii="Roboto Condensed" w:hAnsi="Roboto Condensed"/>
          <w:b/>
          <w:color w:val="000000" w:themeColor="text1"/>
        </w:rPr>
        <w:t>201</w:t>
      </w:r>
      <w:r w:rsidR="0048134C">
        <w:rPr>
          <w:rFonts w:ascii="Roboto Condensed" w:hAnsi="Roboto Condensed"/>
          <w:b/>
          <w:color w:val="000000" w:themeColor="text1"/>
        </w:rPr>
        <w:t>4</w:t>
      </w:r>
      <w:r w:rsidRPr="00F334A0" w:rsidR="007D2B56">
        <w:rPr>
          <w:rFonts w:ascii="Roboto Condensed" w:hAnsi="Roboto Condensed"/>
          <w:b/>
          <w:color w:val="000000" w:themeColor="text1"/>
        </w:rPr>
        <w:t xml:space="preserve"> to June </w:t>
      </w:r>
      <w:r w:rsidR="007D2B56">
        <w:rPr>
          <w:rFonts w:ascii="Roboto Condensed" w:hAnsi="Roboto Condensed"/>
          <w:b/>
          <w:color w:val="000000" w:themeColor="text1"/>
        </w:rPr>
        <w:t>201</w:t>
      </w:r>
      <w:r w:rsidR="0048134C">
        <w:rPr>
          <w:rFonts w:ascii="Roboto Condensed" w:hAnsi="Roboto Condensed"/>
          <w:b/>
          <w:color w:val="000000" w:themeColor="text1"/>
        </w:rPr>
        <w:t>9</w:t>
      </w:r>
    </w:p>
    <w:p w:rsidR="007D2B56" w:rsidP="007D2B56" w:rsidRDefault="00105D2B" w14:paraId="5974F762" w14:textId="15CDEAE1">
      <w:pPr>
        <w:pStyle w:val="BodyTextSpaceAfter"/>
        <w:rPr>
          <w:color w:val="0070C0"/>
        </w:rPr>
      </w:pPr>
      <w:r>
        <w:rPr>
          <w:noProof/>
          <w:lang w:val="en-AU" w:eastAsia="en-AU"/>
        </w:rPr>
        <w:drawing>
          <wp:inline distT="0" distB="0" distL="0" distR="0">
            <wp:extent cx="6084000" cy="3348000"/>
            <wp:effectExtent l="0" t="0" r="12065" b="5080"/>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17" name="Chart 17"/>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chart">
                <ns3:chart xmlns:ns3="http://schemas.openxmlformats.org/drawingml/2006/chart" r:id="rId29"/>
              </a:graphicData>
            </a:graphic>
          </wp:inline>
        </w:drawing>
      </w:r>
    </w:p>
    <w:p w:rsidR="00105D2B" w:rsidRDefault="00105D2B" w14:paraId="3EF17543" w14:textId="77777777">
      <w:pPr>
        <w:rPr>
          <w:rFonts w:ascii="Roboto Condensed" w:hAnsi="Roboto Condensed" w:cs="TradeGothic-Light"/>
          <w:color w:val="7CBAC0"/>
          <w:sz w:val="32"/>
          <w:szCs w:val="26"/>
          <w:lang w:val="en-GB"/>
        </w:rPr>
      </w:pPr>
      <w:bookmarkStart w:id="8" w:name="_Toc430272330"/>
      <w:r>
        <w:br w:type="page"/>
      </w:r>
    </w:p>
    <w:p w:rsidRPr="0055375D" w:rsidR="007D2B56" w:rsidP="007D2B56" w:rsidRDefault="007D2B56" w14:paraId="39B72D14" w14:textId="5A77BF44">
      <w:pPr>
        <w:pStyle w:val="Heading2"/>
        <w:rPr>
          <w:b/>
          <w:sz w:val="28"/>
        </w:rPr>
      </w:pPr>
      <w:bookmarkStart w:id="9" w:name="_Toc19538141"/>
      <w:r>
        <w:lastRenderedPageBreak/>
        <w:t>1.2</w:t>
      </w:r>
      <w:r w:rsidRPr="00401594">
        <w:t xml:space="preserve"> </w:t>
      </w:r>
      <w:r>
        <w:t xml:space="preserve">Family violence related unique </w:t>
      </w:r>
      <w:r w:rsidR="002E445C">
        <w:t xml:space="preserve">alleged </w:t>
      </w:r>
      <w:r>
        <w:t>offenders</w:t>
      </w:r>
      <w:bookmarkEnd w:id="8"/>
      <w:bookmarkEnd w:id="9"/>
    </w:p>
    <w:p w:rsidRPr="00184C97" w:rsidR="007D2B56" w:rsidP="007D2B56" w:rsidRDefault="007D2B56" w14:paraId="434919FA" w14:textId="1557F041">
      <w:pPr>
        <w:pStyle w:val="BodyTextSpaceAfter"/>
        <w:rPr>
          <w:color w:val="auto"/>
        </w:rPr>
      </w:pPr>
      <w:r w:rsidRPr="00184C97">
        <w:rPr>
          <w:color w:val="auto"/>
        </w:rPr>
        <w:t>Of the 8</w:t>
      </w:r>
      <w:r w:rsidRPr="00184C97" w:rsidR="00184C97">
        <w:rPr>
          <w:color w:val="auto"/>
        </w:rPr>
        <w:t>4</w:t>
      </w:r>
      <w:r w:rsidRPr="00184C97">
        <w:rPr>
          <w:color w:val="auto"/>
        </w:rPr>
        <w:t>,</w:t>
      </w:r>
      <w:r w:rsidRPr="00184C97" w:rsidR="00184C97">
        <w:rPr>
          <w:color w:val="auto"/>
        </w:rPr>
        <w:t>973</w:t>
      </w:r>
      <w:r w:rsidRPr="00184C97">
        <w:rPr>
          <w:color w:val="auto"/>
        </w:rPr>
        <w:t xml:space="preserve"> </w:t>
      </w:r>
      <w:r w:rsidR="00DF1D3C">
        <w:rPr>
          <w:color w:val="auto"/>
        </w:rPr>
        <w:t xml:space="preserve">unique </w:t>
      </w:r>
      <w:r w:rsidRPr="00184C97">
        <w:rPr>
          <w:color w:val="auto"/>
        </w:rPr>
        <w:t>alleged offenders</w:t>
      </w:r>
      <w:r w:rsidR="00DF1D3C">
        <w:rPr>
          <w:color w:val="auto"/>
        </w:rPr>
        <w:t xml:space="preserve"> who were people</w:t>
      </w:r>
      <w:r w:rsidRPr="00184C97">
        <w:rPr>
          <w:color w:val="auto"/>
        </w:rPr>
        <w:t>, almost one third (</w:t>
      </w:r>
      <w:r w:rsidRPr="00184C97" w:rsidR="00184C97">
        <w:rPr>
          <w:color w:val="auto"/>
        </w:rPr>
        <w:t>26,850</w:t>
      </w:r>
      <w:r w:rsidRPr="00184C97">
        <w:rPr>
          <w:color w:val="auto"/>
        </w:rPr>
        <w:t xml:space="preserve"> or </w:t>
      </w:r>
      <w:r w:rsidRPr="00184C97" w:rsidR="00184C97">
        <w:rPr>
          <w:color w:val="auto"/>
        </w:rPr>
        <w:t>31.6</w:t>
      </w:r>
      <w:r w:rsidRPr="00184C97">
        <w:rPr>
          <w:color w:val="auto"/>
        </w:rPr>
        <w:t xml:space="preserve">%) were involved as either an affected family member or other party in a family incident at least once </w:t>
      </w:r>
      <w:r w:rsidR="00DF1D3C">
        <w:rPr>
          <w:color w:val="auto"/>
        </w:rPr>
        <w:t>in the 12 months to 30 June 2019</w:t>
      </w:r>
      <w:r w:rsidRPr="00184C97">
        <w:rPr>
          <w:color w:val="auto"/>
        </w:rPr>
        <w:t xml:space="preserve">. Male unique alleged offenders had a higher proportion of family related incidents within the reference period at </w:t>
      </w:r>
      <w:r w:rsidRPr="00184C97" w:rsidR="00184C97">
        <w:rPr>
          <w:color w:val="auto"/>
        </w:rPr>
        <w:t>33.3</w:t>
      </w:r>
      <w:r w:rsidRPr="00184C97">
        <w:rPr>
          <w:color w:val="auto"/>
        </w:rPr>
        <w:t>%</w:t>
      </w:r>
      <w:r w:rsidRPr="00184C97" w:rsidR="00184C97">
        <w:rPr>
          <w:color w:val="auto"/>
        </w:rPr>
        <w:t xml:space="preserve"> (21,677)</w:t>
      </w:r>
      <w:r w:rsidRPr="00184C97">
        <w:rPr>
          <w:color w:val="auto"/>
        </w:rPr>
        <w:t xml:space="preserve">, whereas </w:t>
      </w:r>
      <w:r w:rsidRPr="00184C97" w:rsidR="00002279">
        <w:rPr>
          <w:color w:val="auto"/>
        </w:rPr>
        <w:t>female alleged</w:t>
      </w:r>
      <w:r w:rsidRPr="00184C97">
        <w:rPr>
          <w:color w:val="auto"/>
        </w:rPr>
        <w:t xml:space="preserve"> offenders who were involved in at least one family incident comprised 26.</w:t>
      </w:r>
      <w:r w:rsidRPr="00184C97" w:rsidR="00184C97">
        <w:rPr>
          <w:color w:val="auto"/>
        </w:rPr>
        <w:t>0</w:t>
      </w:r>
      <w:r w:rsidRPr="00184C97">
        <w:rPr>
          <w:color w:val="auto"/>
        </w:rPr>
        <w:t>%</w:t>
      </w:r>
      <w:r w:rsidRPr="00184C97" w:rsidR="00184C97">
        <w:rPr>
          <w:color w:val="auto"/>
        </w:rPr>
        <w:t xml:space="preserve"> (5,172)</w:t>
      </w:r>
      <w:r w:rsidRPr="00184C97">
        <w:rPr>
          <w:color w:val="auto"/>
        </w:rPr>
        <w:t xml:space="preserve"> of all female unique alleged offenders.</w:t>
      </w:r>
    </w:p>
    <w:p w:rsidRPr="00F334A0" w:rsidR="007D2B56" w:rsidP="007D2B56" w:rsidRDefault="007D2B56" w14:paraId="6676711F" w14:textId="79747A0F">
      <w:pPr>
        <w:pStyle w:val="BodyTextSpaceAfter"/>
        <w:spacing w:after="0"/>
        <w:rPr>
          <w:rFonts w:ascii="Roboto Condensed" w:hAnsi="Roboto Condensed"/>
          <w:b/>
          <w:color w:val="000000" w:themeColor="text1"/>
        </w:rPr>
      </w:pPr>
      <w:r w:rsidRPr="00F334A0">
        <w:rPr>
          <w:rFonts w:ascii="Roboto Condensed" w:hAnsi="Roboto Condensed"/>
          <w:b/>
          <w:color w:val="000000" w:themeColor="text1"/>
        </w:rPr>
        <w:t xml:space="preserve">Proportion of unique alleged offenders involved in a family incident by sex, July </w:t>
      </w:r>
      <w:r>
        <w:rPr>
          <w:rFonts w:ascii="Roboto Condensed" w:hAnsi="Roboto Condensed"/>
          <w:b/>
          <w:color w:val="000000" w:themeColor="text1"/>
        </w:rPr>
        <w:t>201</w:t>
      </w:r>
      <w:r w:rsidR="0048134C">
        <w:rPr>
          <w:rFonts w:ascii="Roboto Condensed" w:hAnsi="Roboto Condensed"/>
          <w:b/>
          <w:color w:val="000000" w:themeColor="text1"/>
        </w:rPr>
        <w:t>4</w:t>
      </w:r>
      <w:r w:rsidRPr="00F334A0">
        <w:rPr>
          <w:rFonts w:ascii="Roboto Condensed" w:hAnsi="Roboto Condensed"/>
          <w:b/>
          <w:color w:val="000000" w:themeColor="text1"/>
        </w:rPr>
        <w:t xml:space="preserve"> to June </w:t>
      </w:r>
      <w:r>
        <w:rPr>
          <w:rFonts w:ascii="Roboto Condensed" w:hAnsi="Roboto Condensed"/>
          <w:b/>
          <w:color w:val="000000" w:themeColor="text1"/>
        </w:rPr>
        <w:t>201</w:t>
      </w:r>
      <w:r w:rsidR="0048134C">
        <w:rPr>
          <w:rFonts w:ascii="Roboto Condensed" w:hAnsi="Roboto Condensed"/>
          <w:b/>
          <w:color w:val="000000" w:themeColor="text1"/>
        </w:rPr>
        <w:t>9</w:t>
      </w:r>
    </w:p>
    <w:p w:rsidRPr="000D37F7" w:rsidR="007D2B56" w:rsidP="007D2B56" w:rsidRDefault="00105D2B" w14:paraId="68DEA247" w14:textId="70016604">
      <w:pPr>
        <w:pStyle w:val="BodyTextSpaceAfter"/>
        <w:rPr>
          <w:b/>
          <w:color w:val="000000" w:themeColor="text1"/>
        </w:rPr>
      </w:pPr>
      <w:r>
        <w:rPr>
          <w:noProof/>
          <w:lang w:val="en-AU" w:eastAsia="en-AU"/>
        </w:rPr>
        <w:drawing>
          <wp:inline distT="0" distB="0" distL="0" distR="0">
            <wp:extent cx="6008400" cy="3347537"/>
            <wp:effectExtent l="0" t="0" r="11430" b="5715"/>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19" name="Chart 19"/>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chart">
                <ns4:chart xmlns:ns4="http://schemas.openxmlformats.org/drawingml/2006/chart" r:id="rId30"/>
              </a:graphicData>
            </a:graphic>
          </wp:inline>
        </w:drawing>
      </w:r>
    </w:p>
    <w:p w:rsidR="007D2B56" w:rsidP="007D2B56" w:rsidRDefault="007D2B56" w14:paraId="40046CD6" w14:textId="77777777">
      <w:pPr>
        <w:rPr>
          <w:rFonts w:ascii="Roboto Condensed" w:hAnsi="Roboto Condensed" w:cs="TradeGothic-Light"/>
          <w:color w:val="7CBAC0"/>
          <w:sz w:val="32"/>
          <w:szCs w:val="26"/>
          <w:lang w:val="en-GB"/>
        </w:rPr>
      </w:pPr>
      <w:bookmarkStart w:id="10" w:name="_Toc430272331"/>
      <w:r>
        <w:br w:type="page"/>
      </w:r>
    </w:p>
    <w:p w:rsidRPr="00401594" w:rsidR="007D2B56" w:rsidP="007D2B56" w:rsidRDefault="007D2B56" w14:paraId="04D02EEE" w14:textId="6BD87992">
      <w:pPr>
        <w:pStyle w:val="Heading2"/>
      </w:pPr>
      <w:bookmarkStart w:id="11" w:name="_Toc19538142"/>
      <w:r>
        <w:lastRenderedPageBreak/>
        <w:t>1.3</w:t>
      </w:r>
      <w:r w:rsidRPr="00401594">
        <w:t xml:space="preserve"> </w:t>
      </w:r>
      <w:r w:rsidR="00002279">
        <w:t>Unique alleged off</w:t>
      </w:r>
      <w:r>
        <w:t>enders</w:t>
      </w:r>
      <w:bookmarkEnd w:id="10"/>
      <w:r>
        <w:t xml:space="preserve"> under 25 years of age</w:t>
      </w:r>
      <w:bookmarkEnd w:id="11"/>
    </w:p>
    <w:p w:rsidRPr="004A788B" w:rsidR="007D2B56" w:rsidP="007D2B56" w:rsidRDefault="007D2B56" w14:paraId="41A50421" w14:textId="633D954E">
      <w:pPr>
        <w:pStyle w:val="BodyTextSpaceAfter"/>
        <w:rPr>
          <w:color w:val="auto"/>
        </w:rPr>
      </w:pPr>
      <w:r w:rsidRPr="004A788B">
        <w:rPr>
          <w:color w:val="auto"/>
        </w:rPr>
        <w:t>In the year ending June 201</w:t>
      </w:r>
      <w:r w:rsidRPr="004A788B" w:rsidR="0048134C">
        <w:rPr>
          <w:color w:val="auto"/>
        </w:rPr>
        <w:t>9</w:t>
      </w:r>
      <w:r w:rsidRPr="004A788B">
        <w:rPr>
          <w:color w:val="auto"/>
        </w:rPr>
        <w:t>, there were 7,4</w:t>
      </w:r>
      <w:r w:rsidRPr="004A788B" w:rsidR="00C80B79">
        <w:rPr>
          <w:color w:val="auto"/>
        </w:rPr>
        <w:t>22</w:t>
      </w:r>
      <w:r w:rsidRPr="004A788B">
        <w:rPr>
          <w:color w:val="auto"/>
        </w:rPr>
        <w:t xml:space="preserve"> unique alleged offenders aged under 18 years, up </w:t>
      </w:r>
      <w:r w:rsidRPr="004A788B" w:rsidR="00C80B79">
        <w:rPr>
          <w:color w:val="auto"/>
        </w:rPr>
        <w:t>1.4</w:t>
      </w:r>
      <w:r w:rsidRPr="004A788B">
        <w:rPr>
          <w:color w:val="auto"/>
        </w:rPr>
        <w:t>% compared to the same period last year. Of these</w:t>
      </w:r>
      <w:r w:rsidRPr="004A788B" w:rsidR="005E731A">
        <w:rPr>
          <w:color w:val="auto"/>
        </w:rPr>
        <w:t xml:space="preserve"> alleged</w:t>
      </w:r>
      <w:r w:rsidRPr="004A788B">
        <w:rPr>
          <w:color w:val="auto"/>
        </w:rPr>
        <w:t xml:space="preserve"> offe</w:t>
      </w:r>
      <w:r w:rsidRPr="004A788B" w:rsidR="00C80B79">
        <w:rPr>
          <w:color w:val="auto"/>
        </w:rPr>
        <w:t>nders under 18 years, 69.6% (5,163</w:t>
      </w:r>
      <w:r w:rsidRPr="004A788B">
        <w:rPr>
          <w:color w:val="auto"/>
        </w:rPr>
        <w:t xml:space="preserve">) were male and </w:t>
      </w:r>
      <w:r w:rsidRPr="004A788B" w:rsidR="00C80B79">
        <w:rPr>
          <w:color w:val="auto"/>
        </w:rPr>
        <w:t>30.4</w:t>
      </w:r>
      <w:r w:rsidRPr="004A788B">
        <w:rPr>
          <w:color w:val="auto"/>
        </w:rPr>
        <w:t>% (2,</w:t>
      </w:r>
      <w:r w:rsidRPr="004A788B" w:rsidR="00C80B79">
        <w:rPr>
          <w:color w:val="auto"/>
        </w:rPr>
        <w:t>256</w:t>
      </w:r>
      <w:r w:rsidRPr="004A788B">
        <w:rPr>
          <w:color w:val="auto"/>
        </w:rPr>
        <w:t xml:space="preserve">) were female. </w:t>
      </w:r>
      <w:r w:rsidRPr="004A788B" w:rsidR="004344EE">
        <w:rPr>
          <w:color w:val="auto"/>
        </w:rPr>
        <w:t xml:space="preserve">Two thirds of </w:t>
      </w:r>
      <w:r w:rsidRPr="004A788B" w:rsidR="005E731A">
        <w:rPr>
          <w:color w:val="auto"/>
        </w:rPr>
        <w:t xml:space="preserve">alleged </w:t>
      </w:r>
      <w:r w:rsidRPr="004A788B" w:rsidR="004344EE">
        <w:rPr>
          <w:color w:val="auto"/>
        </w:rPr>
        <w:t>offenders under 18 years were aged between 15 and 17 years (</w:t>
      </w:r>
      <w:r w:rsidR="004A788B">
        <w:rPr>
          <w:color w:val="auto"/>
        </w:rPr>
        <w:t>69.6</w:t>
      </w:r>
      <w:r w:rsidR="001417CF">
        <w:rPr>
          <w:color w:val="auto"/>
        </w:rPr>
        <w:t>%).</w:t>
      </w:r>
    </w:p>
    <w:p w:rsidRPr="00417F20" w:rsidR="007D2B56" w:rsidP="007D2B56" w:rsidRDefault="007D2B56" w14:paraId="729C2B25" w14:textId="09CEAE9E">
      <w:pPr>
        <w:pStyle w:val="BodyTextSpaceAfter"/>
        <w:rPr>
          <w:color w:val="auto"/>
        </w:rPr>
      </w:pPr>
      <w:r w:rsidRPr="00417F20">
        <w:rPr>
          <w:color w:val="auto"/>
        </w:rPr>
        <w:t xml:space="preserve">Unique </w:t>
      </w:r>
      <w:r w:rsidRPr="00417F20" w:rsidR="00730082">
        <w:rPr>
          <w:color w:val="auto"/>
        </w:rPr>
        <w:t xml:space="preserve">alleged </w:t>
      </w:r>
      <w:r w:rsidRPr="00417F20">
        <w:rPr>
          <w:color w:val="auto"/>
        </w:rPr>
        <w:t xml:space="preserve">offenders aged 18 to 24 comprised </w:t>
      </w:r>
      <w:r w:rsidRPr="00417F20" w:rsidR="00417F20">
        <w:rPr>
          <w:color w:val="auto"/>
        </w:rPr>
        <w:t>19.4% (16,488</w:t>
      </w:r>
      <w:r w:rsidRPr="00417F20">
        <w:rPr>
          <w:color w:val="auto"/>
        </w:rPr>
        <w:t xml:space="preserve">) of all </w:t>
      </w:r>
      <w:r w:rsidRPr="00417F20" w:rsidR="00002279">
        <w:rPr>
          <w:color w:val="auto"/>
        </w:rPr>
        <w:t xml:space="preserve">alleged </w:t>
      </w:r>
      <w:r w:rsidRPr="00417F20" w:rsidR="00417F20">
        <w:rPr>
          <w:color w:val="auto"/>
        </w:rPr>
        <w:t>offenders, and in</w:t>
      </w:r>
      <w:r w:rsidRPr="00417F20">
        <w:rPr>
          <w:color w:val="auto"/>
        </w:rPr>
        <w:t xml:space="preserve">creased </w:t>
      </w:r>
      <w:r w:rsidRPr="00417F20" w:rsidR="00417F20">
        <w:rPr>
          <w:color w:val="auto"/>
        </w:rPr>
        <w:t>2.5</w:t>
      </w:r>
      <w:r w:rsidRPr="00417F20">
        <w:rPr>
          <w:color w:val="auto"/>
        </w:rPr>
        <w:t>% (</w:t>
      </w:r>
      <w:r w:rsidRPr="00417F20" w:rsidR="00417F20">
        <w:rPr>
          <w:color w:val="auto"/>
        </w:rPr>
        <w:t>403</w:t>
      </w:r>
      <w:r w:rsidRPr="00417F20" w:rsidR="00002279">
        <w:rPr>
          <w:color w:val="auto"/>
        </w:rPr>
        <w:t xml:space="preserve"> alleged</w:t>
      </w:r>
      <w:r w:rsidRPr="00417F20">
        <w:rPr>
          <w:color w:val="auto"/>
        </w:rPr>
        <w:t xml:space="preserve"> offenders) compared</w:t>
      </w:r>
      <w:r w:rsidRPr="00417F20" w:rsidR="00002279">
        <w:rPr>
          <w:color w:val="auto"/>
        </w:rPr>
        <w:t xml:space="preserve"> to the same period last year. Unique alleged o</w:t>
      </w:r>
      <w:r w:rsidRPr="00417F20">
        <w:rPr>
          <w:color w:val="auto"/>
        </w:rPr>
        <w:t xml:space="preserve">ffenders 25 years of age </w:t>
      </w:r>
      <w:r w:rsidRPr="00417F20" w:rsidR="00417F20">
        <w:rPr>
          <w:color w:val="auto"/>
        </w:rPr>
        <w:t xml:space="preserve">and over </w:t>
      </w:r>
      <w:r w:rsidRPr="00417F20">
        <w:rPr>
          <w:color w:val="auto"/>
        </w:rPr>
        <w:t xml:space="preserve">comprised </w:t>
      </w:r>
      <w:r w:rsidRPr="00417F20" w:rsidR="00730082">
        <w:rPr>
          <w:color w:val="auto"/>
        </w:rPr>
        <w:t>approximately</w:t>
      </w:r>
      <w:r w:rsidRPr="00417F20">
        <w:rPr>
          <w:color w:val="auto"/>
        </w:rPr>
        <w:t xml:space="preserve"> </w:t>
      </w:r>
      <w:r w:rsidRPr="00417F20" w:rsidR="00417F20">
        <w:rPr>
          <w:color w:val="auto"/>
        </w:rPr>
        <w:t>two</w:t>
      </w:r>
      <w:r w:rsidRPr="00417F20">
        <w:rPr>
          <w:color w:val="auto"/>
        </w:rPr>
        <w:t xml:space="preserve"> third</w:t>
      </w:r>
      <w:r w:rsidRPr="00417F20" w:rsidR="00417F20">
        <w:rPr>
          <w:color w:val="auto"/>
        </w:rPr>
        <w:t>s</w:t>
      </w:r>
      <w:r w:rsidRPr="00417F20">
        <w:rPr>
          <w:color w:val="auto"/>
        </w:rPr>
        <w:t xml:space="preserve"> of all unique </w:t>
      </w:r>
      <w:r w:rsidRPr="00417F20" w:rsidR="00002279">
        <w:rPr>
          <w:color w:val="auto"/>
        </w:rPr>
        <w:t xml:space="preserve">alleged </w:t>
      </w:r>
      <w:r w:rsidRPr="00417F20">
        <w:rPr>
          <w:color w:val="auto"/>
        </w:rPr>
        <w:t xml:space="preserve">offenders in the year ending June </w:t>
      </w:r>
      <w:r w:rsidRPr="00417F20" w:rsidR="00730082">
        <w:rPr>
          <w:color w:val="auto"/>
        </w:rPr>
        <w:t>201</w:t>
      </w:r>
      <w:r w:rsidRPr="00417F20" w:rsidR="0048134C">
        <w:rPr>
          <w:color w:val="auto"/>
        </w:rPr>
        <w:t>9</w:t>
      </w:r>
      <w:r w:rsidRPr="00417F20" w:rsidR="00417F20">
        <w:rPr>
          <w:color w:val="auto"/>
        </w:rPr>
        <w:t>, and have been in</w:t>
      </w:r>
      <w:r w:rsidRPr="00417F20">
        <w:rPr>
          <w:color w:val="auto"/>
        </w:rPr>
        <w:t>creasing steadily as a proportion over the past five years (</w:t>
      </w:r>
      <w:r w:rsidRPr="00417F20" w:rsidR="00417F20">
        <w:rPr>
          <w:color w:val="auto"/>
        </w:rPr>
        <w:t>65.3</w:t>
      </w:r>
      <w:r w:rsidRPr="00417F20">
        <w:rPr>
          <w:color w:val="auto"/>
        </w:rPr>
        <w:t xml:space="preserve">% to </w:t>
      </w:r>
      <w:r w:rsidRPr="00417F20" w:rsidR="00417F20">
        <w:rPr>
          <w:color w:val="auto"/>
        </w:rPr>
        <w:t>70.9</w:t>
      </w:r>
      <w:r w:rsidRPr="00417F20">
        <w:rPr>
          <w:color w:val="auto"/>
        </w:rPr>
        <w:t xml:space="preserve">%). </w:t>
      </w:r>
    </w:p>
    <w:p w:rsidRPr="00F334A0" w:rsidR="007D2B56" w:rsidP="007D2B56" w:rsidRDefault="007D2B56" w14:paraId="6C301D61" w14:textId="75056E20">
      <w:pPr>
        <w:pStyle w:val="BodyTextSpaceAfter"/>
        <w:rPr>
          <w:rFonts w:ascii="Roboto Condensed" w:hAnsi="Roboto Condensed"/>
          <w:b/>
          <w:color w:val="000000" w:themeColor="text1"/>
        </w:rPr>
      </w:pPr>
      <w:r w:rsidRPr="00F334A0">
        <w:rPr>
          <w:rFonts w:ascii="Roboto Condensed" w:hAnsi="Roboto Condensed"/>
          <w:b/>
          <w:color w:val="000000" w:themeColor="text1"/>
        </w:rPr>
        <w:t xml:space="preserve">Proportion of unique alleged offenders by age groups, </w:t>
      </w:r>
      <w:r>
        <w:rPr>
          <w:rFonts w:ascii="Roboto Condensed" w:hAnsi="Roboto Condensed"/>
          <w:b/>
          <w:color w:val="000000" w:themeColor="text1"/>
        </w:rPr>
        <w:t>year ending June 201</w:t>
      </w:r>
      <w:r w:rsidR="0048134C">
        <w:rPr>
          <w:rFonts w:ascii="Roboto Condensed" w:hAnsi="Roboto Condensed"/>
          <w:b/>
          <w:color w:val="000000" w:themeColor="text1"/>
        </w:rPr>
        <w:t>9</w:t>
      </w:r>
    </w:p>
    <w:p w:rsidR="007D2B56" w:rsidP="007D2B56" w:rsidRDefault="00105D2B" w14:paraId="0CE404A8" w14:textId="16780094">
      <w:pPr>
        <w:pStyle w:val="BodyTextSpaceAfter"/>
        <w:jc w:val="center"/>
        <w:rPr>
          <w:b/>
          <w:color w:val="FF0000"/>
        </w:rPr>
      </w:pPr>
      <w:r>
        <w:rPr>
          <w:noProof/>
          <w:lang w:val="en-AU" w:eastAsia="en-AU"/>
        </w:rPr>
        <w:drawing>
          <wp:inline distT="0" distB="0" distL="0" distR="0">
            <wp:extent cx="6084000" cy="3348000"/>
            <wp:effectExtent l="0" t="0" r="12065" b="5080"/>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20" name="Chart 20"/>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chart">
                <ns5:chart xmlns:ns5="http://schemas.openxmlformats.org/drawingml/2006/chart" r:id="rId31"/>
              </a:graphicData>
            </a:graphic>
          </wp:inline>
        </w:drawing>
      </w:r>
    </w:p>
    <w:p w:rsidR="007D2B56" w:rsidP="007D2B56" w:rsidRDefault="007D2B56" w14:paraId="22936298" w14:textId="77777777">
      <w:pPr>
        <w:rPr>
          <w:rFonts w:ascii="Roboto Condensed" w:hAnsi="Roboto Condensed" w:cs="TradeGothic-Light"/>
          <w:color w:val="7CBAC0"/>
          <w:sz w:val="32"/>
          <w:szCs w:val="26"/>
          <w:lang w:val="en-GB"/>
        </w:rPr>
      </w:pPr>
      <w:bookmarkStart w:id="12" w:name="_Toc430272332"/>
      <w:r>
        <w:br w:type="page"/>
      </w:r>
    </w:p>
    <w:p w:rsidRPr="00401594" w:rsidR="007D2B56" w:rsidP="007D2B56" w:rsidRDefault="007D2B56" w14:paraId="0B3A3897" w14:textId="6F862F5D">
      <w:pPr>
        <w:pStyle w:val="Heading2"/>
      </w:pPr>
      <w:bookmarkStart w:id="13" w:name="_Toc19538143"/>
      <w:r>
        <w:lastRenderedPageBreak/>
        <w:t>1.4</w:t>
      </w:r>
      <w:r w:rsidRPr="00401594">
        <w:t xml:space="preserve"> </w:t>
      </w:r>
      <w:r>
        <w:t>Repeat offending</w:t>
      </w:r>
      <w:bookmarkEnd w:id="12"/>
      <w:bookmarkEnd w:id="13"/>
      <w:r>
        <w:t xml:space="preserve"> </w:t>
      </w:r>
    </w:p>
    <w:p w:rsidRPr="00417F20" w:rsidR="007D2B56" w:rsidP="007D2B56" w:rsidRDefault="007D2B56" w14:paraId="5399A463" w14:textId="6DCBFCD9">
      <w:pPr>
        <w:pStyle w:val="BodyTextSpaceAfter"/>
        <w:rPr>
          <w:color w:val="auto"/>
        </w:rPr>
      </w:pPr>
      <w:r w:rsidRPr="00776029">
        <w:rPr>
          <w:color w:val="auto"/>
        </w:rPr>
        <w:t>Repeat offending is defined as when people have been linked to more than on</w:t>
      </w:r>
      <w:r w:rsidR="00A83059">
        <w:rPr>
          <w:color w:val="auto"/>
        </w:rPr>
        <w:t xml:space="preserve">e criminal incident within a 12 </w:t>
      </w:r>
      <w:r w:rsidRPr="00776029">
        <w:rPr>
          <w:color w:val="auto"/>
        </w:rPr>
        <w:t xml:space="preserve">month financial year reference period. People who have been alleged offenders across financial year reference periods will </w:t>
      </w:r>
      <w:r w:rsidRPr="00417F20">
        <w:rPr>
          <w:color w:val="auto"/>
        </w:rPr>
        <w:t>only be counted in each of the relevant reference periods.</w:t>
      </w:r>
    </w:p>
    <w:p w:rsidRPr="00417F20" w:rsidR="007D2B56" w:rsidP="007D2B56" w:rsidRDefault="007D2B56" w14:paraId="48445842" w14:textId="7C20DB9B">
      <w:pPr>
        <w:pStyle w:val="BodyTextSpaceAfter"/>
        <w:rPr>
          <w:color w:val="auto"/>
        </w:rPr>
      </w:pPr>
      <w:r w:rsidRPr="00417F20">
        <w:rPr>
          <w:color w:val="auto"/>
        </w:rPr>
        <w:t xml:space="preserve">Of the </w:t>
      </w:r>
      <w:r w:rsidRPr="00417F20" w:rsidR="00417F20">
        <w:rPr>
          <w:color w:val="auto"/>
        </w:rPr>
        <w:t>84,973</w:t>
      </w:r>
      <w:r w:rsidRPr="00417F20">
        <w:rPr>
          <w:color w:val="auto"/>
        </w:rPr>
        <w:t xml:space="preserve"> </w:t>
      </w:r>
      <w:r w:rsidRPr="00417F20" w:rsidR="00002279">
        <w:rPr>
          <w:color w:val="auto"/>
        </w:rPr>
        <w:t xml:space="preserve">unique alleged </w:t>
      </w:r>
      <w:r w:rsidRPr="00417F20">
        <w:rPr>
          <w:color w:val="auto"/>
        </w:rPr>
        <w:t>offenders recorded in the year ending June 201</w:t>
      </w:r>
      <w:r w:rsidRPr="00417F20" w:rsidR="0048134C">
        <w:rPr>
          <w:color w:val="auto"/>
        </w:rPr>
        <w:t>9</w:t>
      </w:r>
      <w:r w:rsidRPr="00417F20">
        <w:rPr>
          <w:color w:val="auto"/>
        </w:rPr>
        <w:t>, 66.5% (</w:t>
      </w:r>
      <w:r w:rsidRPr="00417F20" w:rsidR="00417F20">
        <w:rPr>
          <w:color w:val="auto"/>
        </w:rPr>
        <w:t>56,499</w:t>
      </w:r>
      <w:r w:rsidRPr="00417F20">
        <w:rPr>
          <w:color w:val="auto"/>
        </w:rPr>
        <w:t>) were only involved in one incident during the reference period. Males were more likely to have been involved in multiple incidents, with 34.</w:t>
      </w:r>
      <w:r w:rsidRPr="00417F20" w:rsidR="00417F20">
        <w:rPr>
          <w:color w:val="auto"/>
        </w:rPr>
        <w:t>4</w:t>
      </w:r>
      <w:r w:rsidRPr="00417F20">
        <w:rPr>
          <w:color w:val="auto"/>
        </w:rPr>
        <w:t>% of male</w:t>
      </w:r>
      <w:r w:rsidRPr="00417F20" w:rsidR="00002279">
        <w:rPr>
          <w:color w:val="auto"/>
        </w:rPr>
        <w:t xml:space="preserve"> alleged</w:t>
      </w:r>
      <w:r w:rsidRPr="00417F20">
        <w:rPr>
          <w:color w:val="auto"/>
        </w:rPr>
        <w:t xml:space="preserve"> offenders linked to more tha</w:t>
      </w:r>
      <w:r w:rsidRPr="00417F20" w:rsidR="00417F20">
        <w:rPr>
          <w:color w:val="auto"/>
        </w:rPr>
        <w:t>n one incident, compared to 30.6</w:t>
      </w:r>
      <w:r w:rsidRPr="00417F20">
        <w:rPr>
          <w:color w:val="auto"/>
        </w:rPr>
        <w:t xml:space="preserve">% of females. </w:t>
      </w:r>
    </w:p>
    <w:p w:rsidRPr="00A83059" w:rsidR="007D2B56" w:rsidP="007D2B56" w:rsidRDefault="007D2B56" w14:paraId="2F45CBC5" w14:textId="0E73E65C">
      <w:pPr>
        <w:rPr>
          <w:rFonts w:ascii="Roboto Condensed" w:hAnsi="Roboto Condensed"/>
          <w:b/>
          <w:color w:val="000000" w:themeColor="text1"/>
          <w:sz w:val="22"/>
        </w:rPr>
      </w:pPr>
      <w:r w:rsidRPr="00A83059">
        <w:rPr>
          <w:rFonts w:ascii="Roboto Condensed" w:hAnsi="Roboto Condensed"/>
          <w:b/>
          <w:color w:val="000000" w:themeColor="text1"/>
          <w:sz w:val="22"/>
        </w:rPr>
        <w:t>Unique alleged offenders, number of repeat offender incidents by age group, year ending June 201</w:t>
      </w:r>
      <w:r w:rsidR="0048134C">
        <w:rPr>
          <w:rFonts w:ascii="Roboto Condensed" w:hAnsi="Roboto Condensed"/>
          <w:b/>
          <w:color w:val="000000" w:themeColor="text1"/>
          <w:sz w:val="22"/>
        </w:rPr>
        <w:t>9</w:t>
      </w:r>
    </w:p>
    <w:p w:rsidR="007D2B56" w:rsidP="007D2B56" w:rsidRDefault="007D2B56" w14:paraId="23A705FB" w14:textId="1A58ED75">
      <w:pPr>
        <w:pStyle w:val="BodyTextSpaceAfter"/>
      </w:pPr>
      <w:r w:rsidRPr="000902B2">
        <w:rPr>
          <w:noProof/>
          <w:lang w:eastAsia="en-AU"/>
        </w:rPr>
        <w:t xml:space="preserve"> </w:t>
      </w:r>
      <w:r w:rsidR="00713D5B">
        <w:rPr>
          <w:noProof/>
          <w:lang w:val="en-AU" w:eastAsia="en-AU"/>
        </w:rPr>
        <w:drawing>
          <wp:inline distT="0" distB="0" distL="0" distR="0">
            <wp:extent cx="5868000" cy="3348000"/>
            <wp:effectExtent l="0" t="0" r="0" b="5080"/>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27" name="Chart 27"/>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chart">
                <ns6:chart xmlns:ns6="http://schemas.openxmlformats.org/drawingml/2006/chart" r:id="rId32"/>
              </a:graphicData>
            </a:graphic>
          </wp:inline>
        </w:drawing>
      </w:r>
    </w:p>
    <w:p w:rsidRPr="00EE5F7B" w:rsidR="00A83059" w:rsidP="00A83059" w:rsidRDefault="00A83059" w14:paraId="0D9625B9" w14:textId="40017750">
      <w:pPr>
        <w:pStyle w:val="BodyTextSpaceAfter"/>
        <w:rPr>
          <w:color w:val="auto"/>
        </w:rPr>
      </w:pPr>
      <w:r w:rsidRPr="00EE5F7B">
        <w:rPr>
          <w:color w:val="auto"/>
        </w:rPr>
        <w:t>The age group with the highest proportion of repeat</w:t>
      </w:r>
      <w:r w:rsidRPr="00EE5F7B" w:rsidR="00002279">
        <w:rPr>
          <w:color w:val="auto"/>
        </w:rPr>
        <w:t xml:space="preserve"> alleged</w:t>
      </w:r>
      <w:r w:rsidRPr="00EE5F7B">
        <w:rPr>
          <w:color w:val="auto"/>
        </w:rPr>
        <w:t xml:space="preserve"> offenders in the year ending June 201</w:t>
      </w:r>
      <w:r w:rsidRPr="00EE5F7B" w:rsidR="0048134C">
        <w:rPr>
          <w:color w:val="auto"/>
        </w:rPr>
        <w:t>9</w:t>
      </w:r>
      <w:r w:rsidRPr="00EE5F7B">
        <w:rPr>
          <w:color w:val="auto"/>
        </w:rPr>
        <w:t xml:space="preserve"> was males between 3</w:t>
      </w:r>
      <w:r w:rsidRPr="00EE5F7B" w:rsidR="00EE5F7B">
        <w:rPr>
          <w:color w:val="auto"/>
        </w:rPr>
        <w:t>0</w:t>
      </w:r>
      <w:r w:rsidRPr="00EE5F7B">
        <w:rPr>
          <w:color w:val="auto"/>
        </w:rPr>
        <w:t>–3</w:t>
      </w:r>
      <w:r w:rsidRPr="00EE5F7B" w:rsidR="00EE5F7B">
        <w:rPr>
          <w:color w:val="auto"/>
        </w:rPr>
        <w:t>4</w:t>
      </w:r>
      <w:r w:rsidRPr="00EE5F7B">
        <w:rPr>
          <w:color w:val="auto"/>
        </w:rPr>
        <w:t xml:space="preserve"> years</w:t>
      </w:r>
      <w:r w:rsidRPr="00EE5F7B" w:rsidR="005A5D60">
        <w:rPr>
          <w:color w:val="auto"/>
        </w:rPr>
        <w:t xml:space="preserve"> (</w:t>
      </w:r>
      <w:r w:rsidRPr="00EE5F7B" w:rsidR="00EE5F7B">
        <w:rPr>
          <w:color w:val="auto"/>
        </w:rPr>
        <w:t>38.7</w:t>
      </w:r>
      <w:r w:rsidRPr="00EE5F7B" w:rsidR="005A5D60">
        <w:rPr>
          <w:color w:val="auto"/>
        </w:rPr>
        <w:t>%)</w:t>
      </w:r>
      <w:r w:rsidRPr="00EE5F7B">
        <w:rPr>
          <w:color w:val="auto"/>
        </w:rPr>
        <w:t xml:space="preserve">, who had an average of 2.2 incidents within the last 12 months. Male </w:t>
      </w:r>
      <w:r w:rsidRPr="00EE5F7B" w:rsidR="00002279">
        <w:rPr>
          <w:color w:val="auto"/>
        </w:rPr>
        <w:t xml:space="preserve">alleged </w:t>
      </w:r>
      <w:r w:rsidRPr="00EE5F7B">
        <w:rPr>
          <w:color w:val="auto"/>
        </w:rPr>
        <w:t>offenders aged 3</w:t>
      </w:r>
      <w:r w:rsidRPr="00EE5F7B" w:rsidR="00EE5F7B">
        <w:rPr>
          <w:color w:val="auto"/>
        </w:rPr>
        <w:t>5–39</w:t>
      </w:r>
      <w:r w:rsidRPr="00EE5F7B">
        <w:rPr>
          <w:color w:val="auto"/>
        </w:rPr>
        <w:t xml:space="preserve"> had the next highest </w:t>
      </w:r>
      <w:r w:rsidRPr="00EE5F7B" w:rsidR="005A5D60">
        <w:rPr>
          <w:color w:val="auto"/>
        </w:rPr>
        <w:t xml:space="preserve">proportion of repeat </w:t>
      </w:r>
      <w:r w:rsidRPr="00EE5F7B" w:rsidR="00002279">
        <w:rPr>
          <w:color w:val="auto"/>
        </w:rPr>
        <w:t xml:space="preserve">alleged </w:t>
      </w:r>
      <w:r w:rsidRPr="00EE5F7B" w:rsidR="005A5D60">
        <w:rPr>
          <w:color w:val="auto"/>
        </w:rPr>
        <w:t>offenders (38.</w:t>
      </w:r>
      <w:r w:rsidRPr="00EE5F7B" w:rsidR="00EE5F7B">
        <w:rPr>
          <w:color w:val="auto"/>
        </w:rPr>
        <w:t>5</w:t>
      </w:r>
      <w:r w:rsidRPr="00EE5F7B" w:rsidR="005A5D60">
        <w:rPr>
          <w:color w:val="auto"/>
        </w:rPr>
        <w:t>%) with an average</w:t>
      </w:r>
      <w:r w:rsidRPr="00EE5F7B" w:rsidR="00EE5F7B">
        <w:rPr>
          <w:color w:val="auto"/>
        </w:rPr>
        <w:t xml:space="preserve"> of 2.1</w:t>
      </w:r>
      <w:r w:rsidRPr="00EE5F7B">
        <w:rPr>
          <w:color w:val="auto"/>
        </w:rPr>
        <w:t xml:space="preserve"> incidents.</w:t>
      </w:r>
    </w:p>
    <w:p w:rsidR="007D2B56" w:rsidP="007D2B56" w:rsidRDefault="007D2B56" w14:paraId="599D431D" w14:textId="77777777">
      <w:pPr>
        <w:sectPr w:rsidR="007D2B56" w:rsidSect="007D2B56">
          <w:headerReference r:id="rId33" w:type="even"/>
          <w:headerReference r:id="rId34" w:type="default"/>
          <w:footerReference r:id="rId35" w:type="even"/>
          <w:footerReference r:id="rId36" w:type="default"/>
          <w:headerReference r:id="rId37" w:type="first"/>
          <w:type w:val="continuous"/>
          <w:pgSz w:w="11906" w:h="16838"/>
          <w:pgMar w:top="1276" w:right="1134" w:bottom="851" w:left="1134" w:header="510" w:footer="510" w:gutter="0"/>
          <w:cols w:space="720"/>
          <w:noEndnote/>
          <w:docGrid w:linePitch="326"/>
        </w:sectPr>
      </w:pPr>
      <w:r>
        <w:br w:type="page"/>
      </w:r>
    </w:p>
    <w:p w:rsidR="00C84BBC" w:rsidP="00C84BBC" w:rsidRDefault="007D2B56" w14:paraId="49EC132E" w14:textId="21F9FE52">
      <w:pPr>
        <w:pStyle w:val="Heading1"/>
      </w:pPr>
      <w:bookmarkStart w:id="14" w:name="_Toc19538144"/>
      <w:r>
        <w:lastRenderedPageBreak/>
        <w:t>2</w:t>
      </w:r>
      <w:r w:rsidR="00C84BBC">
        <w:t xml:space="preserve">. </w:t>
      </w:r>
      <w:r w:rsidR="00066B43">
        <w:t>Unique v</w:t>
      </w:r>
      <w:r w:rsidR="00C84BBC">
        <w:t>ictims of crime in Victoria</w:t>
      </w:r>
      <w:bookmarkEnd w:id="14"/>
    </w:p>
    <w:p w:rsidR="00C84BBC" w:rsidP="00C84BBC" w:rsidRDefault="00C84BBC" w14:paraId="00A8AA93" w14:textId="77777777">
      <w:pPr>
        <w:pStyle w:val="Spacer"/>
      </w:pPr>
    </w:p>
    <w:p w:rsidRPr="00EE5F7B" w:rsidR="00C84BBC" w:rsidP="00C84BBC" w:rsidRDefault="000A32A3" w14:paraId="61A47B3A" w14:textId="2F2C2A26">
      <w:pPr>
        <w:pStyle w:val="BodyTextSpaceAfter"/>
        <w:rPr>
          <w:color w:val="auto"/>
        </w:rPr>
      </w:pPr>
      <w:r w:rsidRPr="00EE5F7B">
        <w:rPr>
          <w:color w:val="auto"/>
        </w:rPr>
        <w:t>In t</w:t>
      </w:r>
      <w:r w:rsidRPr="00EE5F7B" w:rsidR="00227919">
        <w:rPr>
          <w:color w:val="auto"/>
        </w:rPr>
        <w:t>he year ending</w:t>
      </w:r>
      <w:r w:rsidRPr="00EE5F7B" w:rsidR="004B2B7F">
        <w:rPr>
          <w:color w:val="auto"/>
        </w:rPr>
        <w:t xml:space="preserve"> June 201</w:t>
      </w:r>
      <w:r w:rsidRPr="00EE5F7B" w:rsidR="0048134C">
        <w:rPr>
          <w:color w:val="auto"/>
        </w:rPr>
        <w:t>9</w:t>
      </w:r>
      <w:r w:rsidRPr="00EE5F7B" w:rsidR="004B2B7F">
        <w:rPr>
          <w:color w:val="auto"/>
        </w:rPr>
        <w:t xml:space="preserve"> </w:t>
      </w:r>
      <w:r w:rsidRPr="00EE5F7B">
        <w:rPr>
          <w:color w:val="auto"/>
        </w:rPr>
        <w:t xml:space="preserve">there were </w:t>
      </w:r>
      <w:r w:rsidRPr="00EE5F7B" w:rsidR="00EE5F7B">
        <w:rPr>
          <w:color w:val="auto"/>
        </w:rPr>
        <w:t>226,167</w:t>
      </w:r>
      <w:r w:rsidRPr="00EE5F7B" w:rsidR="00C84BBC">
        <w:rPr>
          <w:color w:val="auto"/>
        </w:rPr>
        <w:t xml:space="preserve"> unique victims of crime recorded by Victoria Police. The n</w:t>
      </w:r>
      <w:r w:rsidRPr="00EE5F7B" w:rsidR="005C7BC3">
        <w:rPr>
          <w:color w:val="auto"/>
        </w:rPr>
        <w:t>umber of victims of crime has de</w:t>
      </w:r>
      <w:r w:rsidRPr="00EE5F7B" w:rsidR="00C84BBC">
        <w:rPr>
          <w:color w:val="auto"/>
        </w:rPr>
        <w:t>c</w:t>
      </w:r>
      <w:r w:rsidRPr="00EE5F7B" w:rsidR="0085467B">
        <w:rPr>
          <w:color w:val="auto"/>
        </w:rPr>
        <w:t xml:space="preserve">reased </w:t>
      </w:r>
      <w:r w:rsidRPr="00EE5F7B" w:rsidR="00EE5F7B">
        <w:rPr>
          <w:color w:val="auto"/>
        </w:rPr>
        <w:t>0.8</w:t>
      </w:r>
      <w:r w:rsidRPr="00EE5F7B" w:rsidR="00C84BBC">
        <w:rPr>
          <w:color w:val="auto"/>
        </w:rPr>
        <w:t xml:space="preserve">% </w:t>
      </w:r>
      <w:r w:rsidRPr="00EE5F7B" w:rsidR="00AA248F">
        <w:rPr>
          <w:color w:val="auto"/>
        </w:rPr>
        <w:t xml:space="preserve">or </w:t>
      </w:r>
      <w:r w:rsidRPr="00EE5F7B" w:rsidR="005C7BC3">
        <w:rPr>
          <w:color w:val="auto"/>
        </w:rPr>
        <w:t>1</w:t>
      </w:r>
      <w:r w:rsidRPr="00EE5F7B" w:rsidR="00EE5F7B">
        <w:rPr>
          <w:color w:val="auto"/>
        </w:rPr>
        <w:t>,826</w:t>
      </w:r>
      <w:r w:rsidRPr="00EE5F7B" w:rsidR="005C7BC3">
        <w:rPr>
          <w:color w:val="auto"/>
        </w:rPr>
        <w:t xml:space="preserve"> unique victims </w:t>
      </w:r>
      <w:r w:rsidRPr="00EE5F7B" w:rsidR="00C84BBC">
        <w:rPr>
          <w:color w:val="auto"/>
        </w:rPr>
        <w:t xml:space="preserve">compared to the </w:t>
      </w:r>
      <w:r w:rsidRPr="00EE5F7B" w:rsidR="00AA248F">
        <w:rPr>
          <w:color w:val="auto"/>
        </w:rPr>
        <w:t>same period last year</w:t>
      </w:r>
      <w:r w:rsidRPr="00EE5F7B" w:rsidR="00C84BBC">
        <w:rPr>
          <w:color w:val="auto"/>
        </w:rPr>
        <w:t xml:space="preserve">. </w:t>
      </w:r>
      <w:r w:rsidRPr="00EE5F7B" w:rsidR="00193588">
        <w:rPr>
          <w:color w:val="auto"/>
        </w:rPr>
        <w:t xml:space="preserve">This number is the lowest since the year ending June 2015. </w:t>
      </w:r>
      <w:r w:rsidRPr="00EE5F7B" w:rsidR="00C84BBC">
        <w:rPr>
          <w:color w:val="auto"/>
        </w:rPr>
        <w:t xml:space="preserve">Of this number, </w:t>
      </w:r>
      <w:r w:rsidRPr="00EE5F7B" w:rsidR="00EE5F7B">
        <w:rPr>
          <w:color w:val="auto"/>
        </w:rPr>
        <w:t>186,812</w:t>
      </w:r>
      <w:r w:rsidRPr="00EE5F7B">
        <w:rPr>
          <w:color w:val="auto"/>
        </w:rPr>
        <w:t xml:space="preserve"> </w:t>
      </w:r>
      <w:r w:rsidRPr="00EE5F7B" w:rsidR="00C84BBC">
        <w:rPr>
          <w:color w:val="auto"/>
        </w:rPr>
        <w:t>(82.</w:t>
      </w:r>
      <w:r w:rsidRPr="00EE5F7B" w:rsidR="00EE5F7B">
        <w:rPr>
          <w:color w:val="auto"/>
        </w:rPr>
        <w:t>6</w:t>
      </w:r>
      <w:r w:rsidRPr="00EE5F7B" w:rsidR="00C84BBC">
        <w:rPr>
          <w:color w:val="auto"/>
        </w:rPr>
        <w:t xml:space="preserve">%) of victims were people, and </w:t>
      </w:r>
      <w:r w:rsidRPr="00EE5F7B" w:rsidR="005C7BC3">
        <w:rPr>
          <w:color w:val="auto"/>
        </w:rPr>
        <w:t>39,</w:t>
      </w:r>
      <w:r w:rsidRPr="00EE5F7B" w:rsidR="00EE5F7B">
        <w:rPr>
          <w:color w:val="auto"/>
        </w:rPr>
        <w:t xml:space="preserve">355 </w:t>
      </w:r>
      <w:r w:rsidRPr="00EE5F7B" w:rsidR="00C84BBC">
        <w:rPr>
          <w:color w:val="auto"/>
        </w:rPr>
        <w:t>(17.</w:t>
      </w:r>
      <w:r w:rsidRPr="00EE5F7B" w:rsidR="00EE5F7B">
        <w:rPr>
          <w:color w:val="auto"/>
        </w:rPr>
        <w:t>4</w:t>
      </w:r>
      <w:r w:rsidRPr="00EE5F7B" w:rsidR="00C84BBC">
        <w:rPr>
          <w:color w:val="auto"/>
        </w:rPr>
        <w:t>%) were organisations.</w:t>
      </w:r>
      <w:r w:rsidRPr="00EE5F7B" w:rsidR="005C7BC3">
        <w:rPr>
          <w:color w:val="auto"/>
        </w:rPr>
        <w:t xml:space="preserve"> The proportion of organisations as victims has remain stable over the last 5 years.</w:t>
      </w:r>
      <w:r w:rsidRPr="00EE5F7B" w:rsidR="00193588">
        <w:rPr>
          <w:color w:val="auto"/>
        </w:rPr>
        <w:t xml:space="preserve"> </w:t>
      </w:r>
    </w:p>
    <w:p w:rsidRPr="0053309B" w:rsidR="00C84BBC" w:rsidP="00C84BBC" w:rsidRDefault="005C7BC3" w14:paraId="7E185841" w14:textId="213BF174">
      <w:pPr>
        <w:pStyle w:val="BodyTextSpaceAfter"/>
        <w:rPr>
          <w:color w:val="auto"/>
        </w:rPr>
      </w:pPr>
      <w:r w:rsidRPr="0053309B">
        <w:rPr>
          <w:color w:val="auto"/>
        </w:rPr>
        <w:t>In the last 12 months there w</w:t>
      </w:r>
      <w:r w:rsidRPr="0053309B" w:rsidR="00EF12F3">
        <w:rPr>
          <w:color w:val="auto"/>
        </w:rPr>
        <w:t>as a</w:t>
      </w:r>
      <w:r w:rsidRPr="0053309B">
        <w:rPr>
          <w:color w:val="auto"/>
        </w:rPr>
        <w:t xml:space="preserve"> decrease in </w:t>
      </w:r>
      <w:r w:rsidRPr="0053309B" w:rsidR="00193588">
        <w:rPr>
          <w:color w:val="auto"/>
        </w:rPr>
        <w:t xml:space="preserve">the victimisation </w:t>
      </w:r>
      <w:r w:rsidRPr="0053309B">
        <w:rPr>
          <w:color w:val="auto"/>
        </w:rPr>
        <w:t xml:space="preserve">rate per 100,000 </w:t>
      </w:r>
      <w:r w:rsidRPr="0053309B" w:rsidR="00EF12F3">
        <w:rPr>
          <w:color w:val="auto"/>
        </w:rPr>
        <w:t xml:space="preserve">population </w:t>
      </w:r>
      <w:r w:rsidRPr="0053309B">
        <w:rPr>
          <w:color w:val="auto"/>
        </w:rPr>
        <w:t xml:space="preserve">(down </w:t>
      </w:r>
      <w:r w:rsidRPr="0053309B" w:rsidR="0053309B">
        <w:rPr>
          <w:color w:val="auto"/>
        </w:rPr>
        <w:t>2.9</w:t>
      </w:r>
      <w:r w:rsidRPr="0053309B">
        <w:rPr>
          <w:color w:val="auto"/>
        </w:rPr>
        <w:t>% to 2,</w:t>
      </w:r>
      <w:r w:rsidRPr="0053309B" w:rsidR="0053309B">
        <w:rPr>
          <w:color w:val="auto"/>
        </w:rPr>
        <w:t>832.4</w:t>
      </w:r>
      <w:r w:rsidRPr="0053309B" w:rsidR="00193588">
        <w:rPr>
          <w:color w:val="auto"/>
        </w:rPr>
        <w:t xml:space="preserve"> from </w:t>
      </w:r>
      <w:r w:rsidRPr="0053309B" w:rsidR="0053309B">
        <w:rPr>
          <w:color w:val="auto"/>
        </w:rPr>
        <w:t>2,915.7</w:t>
      </w:r>
      <w:r w:rsidRPr="0053309B">
        <w:rPr>
          <w:color w:val="auto"/>
        </w:rPr>
        <w:t xml:space="preserve">), the lowest rate in the last 5 years. </w:t>
      </w:r>
      <w:r w:rsidRPr="0053309B" w:rsidR="00C84BBC">
        <w:rPr>
          <w:color w:val="auto"/>
        </w:rPr>
        <w:t>Approximately 3 in every 100 people in Victor</w:t>
      </w:r>
      <w:r w:rsidRPr="0053309B" w:rsidR="000A32A3">
        <w:rPr>
          <w:color w:val="auto"/>
        </w:rPr>
        <w:t>ia were victims o</w:t>
      </w:r>
      <w:r w:rsidRPr="0053309B" w:rsidR="00CA57B7">
        <w:rPr>
          <w:color w:val="auto"/>
        </w:rPr>
        <w:t>f crime in the year to June 201</w:t>
      </w:r>
      <w:r w:rsidRPr="0053309B" w:rsidR="0048134C">
        <w:rPr>
          <w:color w:val="auto"/>
        </w:rPr>
        <w:t>9</w:t>
      </w:r>
      <w:r w:rsidRPr="0053309B" w:rsidR="000A32A3">
        <w:rPr>
          <w:color w:val="auto"/>
        </w:rPr>
        <w:t xml:space="preserve">. </w:t>
      </w:r>
    </w:p>
    <w:p w:rsidRPr="002A2D0C" w:rsidR="00C84BBC" w:rsidP="00C84BBC" w:rsidRDefault="00C84BBC" w14:paraId="06FEA868" w14:textId="77777777">
      <w:pPr>
        <w:widowControl w:val="false"/>
        <w:suppressAutoHyphens/>
        <w:autoSpaceDE w:val="false"/>
        <w:autoSpaceDN w:val="false"/>
        <w:adjustRightInd w:val="false"/>
        <w:spacing w:after="120" w:line="250" w:lineRule="atLeast"/>
        <w:textAlignment w:val="center"/>
        <w:outlineLvl w:val="3"/>
        <w:rPr>
          <w:rFonts w:ascii="Roboto Condensed" w:hAnsi="Roboto Condensed" w:cs="TradeGothic-Light"/>
          <w:b/>
          <w:color w:val="000000" w:themeColor="text1"/>
          <w:sz w:val="22"/>
          <w:szCs w:val="22"/>
          <w:lang w:val="en-GB"/>
        </w:rPr>
      </w:pPr>
      <w:r w:rsidRPr="002A2D0C">
        <w:rPr>
          <w:rFonts w:ascii="Roboto Condensed" w:hAnsi="Roboto Condensed" w:cs="TradeGothic-Light"/>
          <w:b/>
          <w:color w:val="000000" w:themeColor="text1"/>
          <w:sz w:val="22"/>
          <w:szCs w:val="22"/>
          <w:lang w:val="en-GB"/>
        </w:rPr>
        <w:t>Uniq</w:t>
      </w:r>
      <w:r w:rsidRPr="002A2D0C" w:rsidR="000D37F7">
        <w:rPr>
          <w:rFonts w:ascii="Roboto Condensed" w:hAnsi="Roboto Condensed" w:cs="TradeGothic-Light"/>
          <w:b/>
          <w:color w:val="000000" w:themeColor="text1"/>
          <w:sz w:val="22"/>
          <w:szCs w:val="22"/>
          <w:lang w:val="en-GB"/>
        </w:rPr>
        <w:t xml:space="preserve">ue </w:t>
      </w:r>
      <w:r w:rsidRPr="002A2D0C" w:rsidR="00595E1F">
        <w:rPr>
          <w:rFonts w:ascii="Roboto Condensed" w:hAnsi="Roboto Condensed" w:cs="TradeGothic-Light"/>
          <w:b/>
          <w:color w:val="000000" w:themeColor="text1"/>
          <w:sz w:val="22"/>
          <w:szCs w:val="22"/>
          <w:lang w:val="en-GB"/>
        </w:rPr>
        <w:t>victims</w:t>
      </w:r>
      <w:r w:rsidRPr="002A2D0C" w:rsidR="000D37F7">
        <w:rPr>
          <w:rFonts w:ascii="Roboto Condensed" w:hAnsi="Roboto Condensed" w:cs="TradeGothic-Light"/>
          <w:b/>
          <w:color w:val="000000" w:themeColor="text1"/>
          <w:sz w:val="22"/>
          <w:szCs w:val="22"/>
          <w:lang w:val="en-GB"/>
        </w:rPr>
        <w:t xml:space="preserve">, </w:t>
      </w:r>
      <w:r w:rsidR="00CA57B7">
        <w:rPr>
          <w:rFonts w:ascii="Roboto Condensed" w:hAnsi="Roboto Condensed" w:cs="TradeGothic-Light"/>
          <w:b/>
          <w:color w:val="000000" w:themeColor="text1"/>
          <w:sz w:val="22"/>
          <w:szCs w:val="22"/>
          <w:lang w:val="en-GB"/>
        </w:rPr>
        <w:t>10 year trend</w:t>
      </w:r>
    </w:p>
    <w:p w:rsidRPr="000D37F7" w:rsidR="000A32A3" w:rsidP="004B2B7F" w:rsidRDefault="001417CF" w14:paraId="728F5BBF" w14:textId="5A0715BD">
      <w:pPr>
        <w:pStyle w:val="BodyTextSpaceAfter"/>
        <w:rPr>
          <w:rFonts w:ascii="Roboto Condensed" w:hAnsi="Roboto Condensed"/>
          <w:color w:val="000000" w:themeColor="text1"/>
        </w:rPr>
      </w:pPr>
      <w:r>
        <w:rPr>
          <w:noProof/>
          <w:lang w:val="en-AU" w:eastAsia="en-AU"/>
        </w:rPr>
        <w:drawing>
          <wp:inline distT="0" distB="0" distL="0" distR="0">
            <wp:extent cx="6009238" cy="3348000"/>
            <wp:effectExtent l="0" t="0" r="10795" b="5080"/>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4" name="Chart 4"/>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chart">
                <ns7:chart xmlns:ns7="http://schemas.openxmlformats.org/drawingml/2006/chart" r:id="rId38"/>
              </a:graphicData>
            </a:graphic>
          </wp:inline>
        </w:drawing>
      </w:r>
    </w:p>
    <w:p w:rsidR="00C84BBC" w:rsidP="00C84BBC" w:rsidRDefault="00C84BBC" w14:paraId="00BF908C" w14:textId="77777777">
      <w:pPr>
        <w:rPr>
          <w:rFonts w:ascii="Roboto Condensed Light" w:hAnsi="Roboto Condensed Light" w:cs="TradeGothic-Light"/>
          <w:b/>
          <w:color w:val="000000"/>
          <w:sz w:val="28"/>
          <w:szCs w:val="22"/>
          <w:lang w:val="en-GB"/>
        </w:rPr>
      </w:pPr>
      <w:bookmarkStart w:id="15" w:name="_Toc414378274"/>
      <w:r>
        <w:rPr>
          <w:b/>
          <w:sz w:val="28"/>
        </w:rPr>
        <w:br w:type="page"/>
      </w:r>
    </w:p>
    <w:p w:rsidR="00C84BBC" w:rsidP="00C84BBC" w:rsidRDefault="007D2B56" w14:paraId="5018FC89" w14:textId="6D4742AB">
      <w:pPr>
        <w:pStyle w:val="Heading2"/>
      </w:pPr>
      <w:bookmarkStart w:id="16" w:name="_Toc430272324"/>
      <w:bookmarkStart w:id="17" w:name="_Toc19538145"/>
      <w:r>
        <w:lastRenderedPageBreak/>
        <w:t>2</w:t>
      </w:r>
      <w:r w:rsidRPr="00401594" w:rsidR="00C84BBC">
        <w:t>.</w:t>
      </w:r>
      <w:r w:rsidR="00C84BBC">
        <w:t>1</w:t>
      </w:r>
      <w:r w:rsidRPr="00401594" w:rsidR="00C84BBC">
        <w:t xml:space="preserve"> Sex and age of </w:t>
      </w:r>
      <w:bookmarkEnd w:id="15"/>
      <w:r w:rsidR="00C84BBC">
        <w:t>unique victims</w:t>
      </w:r>
      <w:bookmarkEnd w:id="16"/>
      <w:bookmarkEnd w:id="17"/>
    </w:p>
    <w:p w:rsidRPr="0053309B" w:rsidR="00AA3EB9" w:rsidP="00C84BBC" w:rsidRDefault="004B2B7F" w14:paraId="699CFE04" w14:textId="3ED7F55E">
      <w:pPr>
        <w:pStyle w:val="BodyTextSpaceAfter"/>
        <w:rPr>
          <w:color w:val="auto"/>
        </w:rPr>
      </w:pPr>
      <w:r w:rsidRPr="0053309B">
        <w:rPr>
          <w:color w:val="auto"/>
        </w:rPr>
        <w:t>In the year ending 30 June 201</w:t>
      </w:r>
      <w:r w:rsidRPr="0053309B" w:rsidR="0048134C">
        <w:rPr>
          <w:color w:val="auto"/>
        </w:rPr>
        <w:t>9</w:t>
      </w:r>
      <w:r w:rsidRPr="0053309B" w:rsidR="00C84BBC">
        <w:rPr>
          <w:color w:val="auto"/>
        </w:rPr>
        <w:t xml:space="preserve">, of the </w:t>
      </w:r>
      <w:r w:rsidRPr="0053309B" w:rsidR="00BB3B9B">
        <w:rPr>
          <w:color w:val="auto"/>
        </w:rPr>
        <w:t>18</w:t>
      </w:r>
      <w:r w:rsidRPr="0053309B" w:rsidR="0053309B">
        <w:rPr>
          <w:color w:val="auto"/>
        </w:rPr>
        <w:t>6</w:t>
      </w:r>
      <w:r w:rsidRPr="0053309B" w:rsidR="00BB3B9B">
        <w:rPr>
          <w:color w:val="auto"/>
        </w:rPr>
        <w:t>,</w:t>
      </w:r>
      <w:r w:rsidRPr="0053309B" w:rsidR="0053309B">
        <w:rPr>
          <w:color w:val="auto"/>
        </w:rPr>
        <w:t>603</w:t>
      </w:r>
      <w:r w:rsidRPr="0053309B" w:rsidR="00227919">
        <w:rPr>
          <w:color w:val="auto"/>
        </w:rPr>
        <w:t xml:space="preserve"> </w:t>
      </w:r>
      <w:r w:rsidRPr="0053309B" w:rsidR="00C84BBC">
        <w:rPr>
          <w:color w:val="auto"/>
        </w:rPr>
        <w:t xml:space="preserve">unique person victims where a sex was recorded, </w:t>
      </w:r>
      <w:r w:rsidRPr="0053309B" w:rsidR="00193588">
        <w:rPr>
          <w:color w:val="auto"/>
        </w:rPr>
        <w:t>10</w:t>
      </w:r>
      <w:r w:rsidRPr="0053309B" w:rsidR="0053309B">
        <w:rPr>
          <w:color w:val="auto"/>
        </w:rPr>
        <w:t>4</w:t>
      </w:r>
      <w:r w:rsidRPr="0053309B" w:rsidR="00193588">
        <w:rPr>
          <w:color w:val="auto"/>
        </w:rPr>
        <w:t>,</w:t>
      </w:r>
      <w:r w:rsidRPr="0053309B" w:rsidR="0053309B">
        <w:rPr>
          <w:color w:val="auto"/>
        </w:rPr>
        <w:t>820</w:t>
      </w:r>
      <w:r w:rsidRPr="0053309B" w:rsidR="00C84BBC">
        <w:rPr>
          <w:color w:val="auto"/>
        </w:rPr>
        <w:t xml:space="preserve"> (</w:t>
      </w:r>
      <w:r w:rsidRPr="0053309B" w:rsidR="0053309B">
        <w:rPr>
          <w:color w:val="auto"/>
        </w:rPr>
        <w:t>56.2</w:t>
      </w:r>
      <w:r w:rsidRPr="0053309B" w:rsidR="00C84BBC">
        <w:rPr>
          <w:color w:val="auto"/>
        </w:rPr>
        <w:t xml:space="preserve">%) were male and </w:t>
      </w:r>
      <w:r w:rsidRPr="0053309B" w:rsidR="0053309B">
        <w:rPr>
          <w:color w:val="auto"/>
        </w:rPr>
        <w:t>81</w:t>
      </w:r>
      <w:r w:rsidRPr="0053309B" w:rsidR="00193588">
        <w:rPr>
          <w:color w:val="auto"/>
        </w:rPr>
        <w:t>,</w:t>
      </w:r>
      <w:r w:rsidRPr="0053309B" w:rsidR="0053309B">
        <w:rPr>
          <w:color w:val="auto"/>
        </w:rPr>
        <w:t>783</w:t>
      </w:r>
      <w:r w:rsidRPr="0053309B" w:rsidR="00C84BBC">
        <w:rPr>
          <w:color w:val="auto"/>
        </w:rPr>
        <w:t xml:space="preserve"> (</w:t>
      </w:r>
      <w:r w:rsidRPr="0053309B" w:rsidR="00193588">
        <w:rPr>
          <w:color w:val="auto"/>
        </w:rPr>
        <w:t>43.</w:t>
      </w:r>
      <w:r w:rsidRPr="0053309B" w:rsidR="0053309B">
        <w:rPr>
          <w:color w:val="auto"/>
        </w:rPr>
        <w:t>8</w:t>
      </w:r>
      <w:r w:rsidRPr="0053309B" w:rsidR="00C84BBC">
        <w:rPr>
          <w:color w:val="auto"/>
        </w:rPr>
        <w:t>%) were female.</w:t>
      </w:r>
      <w:r w:rsidRPr="0053309B" w:rsidR="00AA3EB9">
        <w:rPr>
          <w:color w:val="auto"/>
        </w:rPr>
        <w:t xml:space="preserve"> These numbers have decreased in the last 12 months</w:t>
      </w:r>
      <w:r w:rsidRPr="0053309B" w:rsidR="00EF12F3">
        <w:rPr>
          <w:color w:val="auto"/>
        </w:rPr>
        <w:t>,</w:t>
      </w:r>
      <w:r w:rsidRPr="0053309B" w:rsidR="00AA3EB9">
        <w:rPr>
          <w:color w:val="auto"/>
        </w:rPr>
        <w:t xml:space="preserve"> down </w:t>
      </w:r>
      <w:r w:rsidRPr="0053309B" w:rsidR="0053309B">
        <w:rPr>
          <w:color w:val="auto"/>
        </w:rPr>
        <w:t>1.0</w:t>
      </w:r>
      <w:r w:rsidRPr="0053309B" w:rsidR="00AA3EB9">
        <w:rPr>
          <w:color w:val="auto"/>
        </w:rPr>
        <w:t>% (</w:t>
      </w:r>
      <w:r w:rsidRPr="0053309B" w:rsidR="0053309B">
        <w:rPr>
          <w:color w:val="auto"/>
        </w:rPr>
        <w:t>1,081</w:t>
      </w:r>
      <w:r w:rsidRPr="0053309B" w:rsidR="00AA3EB9">
        <w:rPr>
          <w:color w:val="auto"/>
        </w:rPr>
        <w:t xml:space="preserve"> victims) for males and </w:t>
      </w:r>
      <w:r w:rsidRPr="0053309B" w:rsidR="0053309B">
        <w:rPr>
          <w:color w:val="auto"/>
        </w:rPr>
        <w:t>0.3</w:t>
      </w:r>
      <w:r w:rsidRPr="0053309B" w:rsidR="00AA3EB9">
        <w:rPr>
          <w:color w:val="auto"/>
        </w:rPr>
        <w:t>% for females (</w:t>
      </w:r>
      <w:r w:rsidRPr="0053309B" w:rsidR="0053309B">
        <w:rPr>
          <w:color w:val="auto"/>
        </w:rPr>
        <w:t xml:space="preserve">273 </w:t>
      </w:r>
      <w:r w:rsidRPr="0053309B" w:rsidR="00AA3EB9">
        <w:rPr>
          <w:color w:val="auto"/>
        </w:rPr>
        <w:t xml:space="preserve">victims). </w:t>
      </w:r>
    </w:p>
    <w:p w:rsidRPr="002A2D0C" w:rsidR="00C84BBC" w:rsidP="00E60DE7" w:rsidRDefault="00C84BBC" w14:paraId="46C9DA7C" w14:textId="77777777">
      <w:pPr>
        <w:pStyle w:val="BodyTextSpaceAfter"/>
        <w:spacing w:after="0"/>
        <w:rPr>
          <w:rFonts w:ascii="Roboto Condensed" w:hAnsi="Roboto Condensed"/>
          <w:b/>
          <w:noProof/>
          <w:color w:val="000000" w:themeColor="text1"/>
          <w:lang w:val="en-AU" w:eastAsia="en-AU"/>
        </w:rPr>
      </w:pPr>
      <w:r w:rsidRPr="002A2D0C">
        <w:rPr>
          <w:rFonts w:ascii="Roboto Condensed" w:hAnsi="Roboto Condensed"/>
          <w:b/>
          <w:color w:val="000000" w:themeColor="text1"/>
        </w:rPr>
        <w:t>Unique victims (excluding organisations), proportion of victims by sex</w:t>
      </w:r>
      <w:r w:rsidR="00CA57B7">
        <w:rPr>
          <w:rFonts w:ascii="Roboto Condensed" w:hAnsi="Roboto Condensed"/>
          <w:b/>
          <w:color w:val="000000" w:themeColor="text1"/>
        </w:rPr>
        <w:t>, 5 year trend</w:t>
      </w:r>
      <w:r w:rsidRPr="002A2D0C">
        <w:rPr>
          <w:rFonts w:ascii="Roboto Condensed" w:hAnsi="Roboto Condensed"/>
          <w:b/>
          <w:color w:val="000000" w:themeColor="text1"/>
        </w:rPr>
        <w:t xml:space="preserve"> </w:t>
      </w:r>
    </w:p>
    <w:p w:rsidR="00C84BBC" w:rsidP="00CA57B7" w:rsidRDefault="00EE5F7B" w14:paraId="48CFAAA0" w14:textId="114F04EA">
      <w:pPr>
        <w:pStyle w:val="BodyTextSpaceAfter"/>
        <w:rPr>
          <w:b/>
        </w:rPr>
      </w:pPr>
      <w:r>
        <w:rPr>
          <w:noProof/>
          <w:lang w:val="en-AU" w:eastAsia="en-AU"/>
        </w:rPr>
        <w:drawing>
          <wp:inline distT="0" distB="0" distL="0" distR="0">
            <wp:extent cx="6008400" cy="3348000"/>
            <wp:effectExtent l="0" t="0" r="11430" b="5080"/>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11" name="Chart 11"/>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chart">
                <ns8:chart xmlns:ns8="http://schemas.openxmlformats.org/drawingml/2006/chart" r:id="rId39"/>
              </a:graphicData>
            </a:graphic>
          </wp:inline>
        </w:drawing>
      </w:r>
    </w:p>
    <w:p w:rsidRPr="0053309B" w:rsidR="00AA3EB9" w:rsidP="00AA3EB9" w:rsidRDefault="00970ED4" w14:paraId="61D1A553" w14:textId="7353DFD9">
      <w:pPr>
        <w:pStyle w:val="BodyTextSpaceAfter"/>
        <w:rPr>
          <w:color w:val="auto"/>
        </w:rPr>
      </w:pPr>
      <w:r w:rsidRPr="0053309B">
        <w:rPr>
          <w:color w:val="auto"/>
        </w:rPr>
        <w:t>T</w:t>
      </w:r>
      <w:r w:rsidRPr="0053309B" w:rsidR="00AA3EB9">
        <w:rPr>
          <w:color w:val="auto"/>
        </w:rPr>
        <w:t>he proportional split between male and female victims has remained stable over time</w:t>
      </w:r>
      <w:r w:rsidRPr="0053309B" w:rsidR="00EF12F3">
        <w:rPr>
          <w:color w:val="auto"/>
        </w:rPr>
        <w:t xml:space="preserve">, </w:t>
      </w:r>
      <w:r w:rsidRPr="0053309B">
        <w:rPr>
          <w:color w:val="auto"/>
        </w:rPr>
        <w:t xml:space="preserve">however </w:t>
      </w:r>
      <w:r w:rsidRPr="0053309B" w:rsidR="00EF12F3">
        <w:rPr>
          <w:color w:val="auto"/>
        </w:rPr>
        <w:t>since the year ending June 201</w:t>
      </w:r>
      <w:r w:rsidR="005901E8">
        <w:rPr>
          <w:color w:val="auto"/>
        </w:rPr>
        <w:t>5</w:t>
      </w:r>
      <w:r w:rsidRPr="0053309B" w:rsidR="00AA3EB9">
        <w:rPr>
          <w:color w:val="auto"/>
        </w:rPr>
        <w:t xml:space="preserve"> the numbers have increased for both males </w:t>
      </w:r>
      <w:r w:rsidRPr="0053309B">
        <w:rPr>
          <w:color w:val="auto"/>
        </w:rPr>
        <w:t>(</w:t>
      </w:r>
      <w:r w:rsidRPr="0053309B" w:rsidR="0053309B">
        <w:rPr>
          <w:color w:val="auto"/>
        </w:rPr>
        <w:t>3.3</w:t>
      </w:r>
      <w:r w:rsidRPr="0053309B" w:rsidR="00AA3EB9">
        <w:rPr>
          <w:color w:val="auto"/>
        </w:rPr>
        <w:t>%</w:t>
      </w:r>
      <w:r w:rsidRPr="0053309B">
        <w:rPr>
          <w:color w:val="auto"/>
        </w:rPr>
        <w:t>,</w:t>
      </w:r>
      <w:r w:rsidRPr="0053309B" w:rsidR="0053309B">
        <w:rPr>
          <w:color w:val="auto"/>
        </w:rPr>
        <w:t xml:space="preserve"> 3,315 </w:t>
      </w:r>
      <w:r w:rsidRPr="0053309B" w:rsidR="00AA3EB9">
        <w:rPr>
          <w:color w:val="auto"/>
        </w:rPr>
        <w:t>victims)</w:t>
      </w:r>
      <w:r w:rsidRPr="0053309B" w:rsidR="00002279">
        <w:rPr>
          <w:color w:val="auto"/>
        </w:rPr>
        <w:t xml:space="preserve"> and females</w:t>
      </w:r>
      <w:r w:rsidRPr="0053309B" w:rsidR="00AA3EB9">
        <w:rPr>
          <w:color w:val="auto"/>
        </w:rPr>
        <w:t xml:space="preserve"> </w:t>
      </w:r>
      <w:r w:rsidRPr="0053309B">
        <w:rPr>
          <w:color w:val="auto"/>
        </w:rPr>
        <w:t>(</w:t>
      </w:r>
      <w:r w:rsidRPr="0053309B" w:rsidR="00AA3EB9">
        <w:rPr>
          <w:color w:val="auto"/>
        </w:rPr>
        <w:t>3.7%</w:t>
      </w:r>
      <w:r w:rsidRPr="0053309B">
        <w:rPr>
          <w:color w:val="auto"/>
        </w:rPr>
        <w:t>,</w:t>
      </w:r>
      <w:r w:rsidRPr="0053309B" w:rsidR="0053309B">
        <w:rPr>
          <w:color w:val="auto"/>
        </w:rPr>
        <w:t xml:space="preserve"> 2,941 </w:t>
      </w:r>
      <w:r w:rsidRPr="0053309B" w:rsidR="00AA3EB9">
        <w:rPr>
          <w:color w:val="auto"/>
        </w:rPr>
        <w:t>victims).</w:t>
      </w:r>
    </w:p>
    <w:p w:rsidRPr="002A2D0C" w:rsidR="00C84BBC" w:rsidP="00E60DE7" w:rsidRDefault="00C84BBC" w14:paraId="42C03BE4" w14:textId="2F3502E3">
      <w:pPr>
        <w:pStyle w:val="BodyTextSpaceAfter"/>
        <w:spacing w:after="0"/>
        <w:rPr>
          <w:rFonts w:ascii="Roboto Condensed" w:hAnsi="Roboto Condensed"/>
          <w:b/>
          <w:noProof/>
          <w:color w:val="000000" w:themeColor="text1"/>
          <w:sz w:val="28"/>
          <w:lang w:val="en-AU" w:eastAsia="en-AU"/>
        </w:rPr>
      </w:pPr>
      <w:r w:rsidRPr="002A2D0C">
        <w:rPr>
          <w:rFonts w:ascii="Roboto Condensed" w:hAnsi="Roboto Condensed"/>
          <w:b/>
          <w:color w:val="000000" w:themeColor="text1"/>
        </w:rPr>
        <w:t>Unique v</w:t>
      </w:r>
      <w:r w:rsidRPr="002A2D0C" w:rsidR="00F75C6D">
        <w:rPr>
          <w:rFonts w:ascii="Roboto Condensed" w:hAnsi="Roboto Condensed"/>
          <w:b/>
          <w:color w:val="000000" w:themeColor="text1"/>
        </w:rPr>
        <w:t xml:space="preserve">ictims by sex and age, </w:t>
      </w:r>
      <w:r w:rsidR="004B2B7F">
        <w:rPr>
          <w:rFonts w:ascii="Roboto Condensed" w:hAnsi="Roboto Condensed"/>
          <w:b/>
          <w:color w:val="000000" w:themeColor="text1"/>
        </w:rPr>
        <w:t>year ending June 201</w:t>
      </w:r>
      <w:r w:rsidR="0048134C">
        <w:rPr>
          <w:rFonts w:ascii="Roboto Condensed" w:hAnsi="Roboto Condensed"/>
          <w:b/>
          <w:color w:val="000000" w:themeColor="text1"/>
        </w:rPr>
        <w:t>9</w:t>
      </w:r>
    </w:p>
    <w:p w:rsidR="00C84BBC" w:rsidP="00C84BBC" w:rsidRDefault="00EE5F7B" w14:paraId="63C67264" w14:textId="5D3A60FE">
      <w:pPr>
        <w:pStyle w:val="BodyTextSpaceAfter"/>
        <w:jc w:val="center"/>
      </w:pPr>
      <w:r>
        <w:rPr>
          <w:noProof/>
          <w:lang w:val="en-AU" w:eastAsia="en-AU"/>
        </w:rPr>
        <w:drawing>
          <wp:inline distT="0" distB="0" distL="0" distR="0">
            <wp:extent cx="6008400" cy="3348000"/>
            <wp:effectExtent l="0" t="0" r="11430" b="5080"/>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13" name="Chart 13"/>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chart">
                <ns9:chart xmlns:ns9="http://schemas.openxmlformats.org/drawingml/2006/chart" r:id="rId40"/>
              </a:graphicData>
            </a:graphic>
          </wp:inline>
        </w:drawing>
      </w:r>
    </w:p>
    <w:p w:rsidRPr="0053309B" w:rsidR="00AA3EB9" w:rsidP="00AA3EB9" w:rsidRDefault="00AA3EB9" w14:paraId="4F1F5AFE" w14:textId="75F864E2">
      <w:pPr>
        <w:pStyle w:val="BodyTextSpaceAfter"/>
        <w:rPr>
          <w:color w:val="auto"/>
        </w:rPr>
      </w:pPr>
      <w:r w:rsidRPr="0053309B">
        <w:rPr>
          <w:color w:val="auto"/>
        </w:rPr>
        <w:lastRenderedPageBreak/>
        <w:t>The average age of person victims where sex was recorded was 39.</w:t>
      </w:r>
      <w:r w:rsidRPr="0053309B" w:rsidR="0053309B">
        <w:rPr>
          <w:color w:val="auto"/>
        </w:rPr>
        <w:t>2</w:t>
      </w:r>
      <w:r w:rsidRPr="0053309B">
        <w:rPr>
          <w:color w:val="auto"/>
        </w:rPr>
        <w:t xml:space="preserve"> years</w:t>
      </w:r>
      <w:r w:rsidRPr="00CC6D21">
        <w:rPr>
          <w:color w:val="0070C0"/>
        </w:rPr>
        <w:t xml:space="preserve">, </w:t>
      </w:r>
      <w:r w:rsidRPr="0053309B">
        <w:rPr>
          <w:color w:val="auto"/>
        </w:rPr>
        <w:t xml:space="preserve">and the age group with the highest number of victims was </w:t>
      </w:r>
      <w:r w:rsidRPr="0053309B" w:rsidR="00297ECA">
        <w:rPr>
          <w:color w:val="auto"/>
        </w:rPr>
        <w:t>25–29</w:t>
      </w:r>
      <w:r w:rsidRPr="0053309B">
        <w:rPr>
          <w:color w:val="auto"/>
        </w:rPr>
        <w:t xml:space="preserve"> years</w:t>
      </w:r>
      <w:r w:rsidR="0053309B">
        <w:rPr>
          <w:color w:val="auto"/>
        </w:rPr>
        <w:t xml:space="preserve"> (23,811 victims)</w:t>
      </w:r>
      <w:r w:rsidRPr="0053309B">
        <w:rPr>
          <w:color w:val="auto"/>
        </w:rPr>
        <w:t xml:space="preserve">. For male victims the average age was </w:t>
      </w:r>
      <w:r w:rsidRPr="0053309B" w:rsidR="00921955">
        <w:rPr>
          <w:color w:val="auto"/>
        </w:rPr>
        <w:t>39.</w:t>
      </w:r>
      <w:r w:rsidR="001B3C66">
        <w:rPr>
          <w:color w:val="auto"/>
        </w:rPr>
        <w:t>7</w:t>
      </w:r>
      <w:r w:rsidRPr="0053309B" w:rsidR="001B3C66">
        <w:rPr>
          <w:color w:val="auto"/>
        </w:rPr>
        <w:t xml:space="preserve"> </w:t>
      </w:r>
      <w:r w:rsidRPr="0053309B">
        <w:rPr>
          <w:color w:val="auto"/>
        </w:rPr>
        <w:t xml:space="preserve">years and the </w:t>
      </w:r>
      <w:r w:rsidRPr="0053309B" w:rsidR="0053309B">
        <w:rPr>
          <w:color w:val="auto"/>
        </w:rPr>
        <w:t>average age for females was 38.6</w:t>
      </w:r>
      <w:r w:rsidRPr="0053309B">
        <w:rPr>
          <w:color w:val="auto"/>
        </w:rPr>
        <w:t xml:space="preserve"> years. There were more male victims than females in every age group except for the </w:t>
      </w:r>
      <w:r w:rsidRPr="0053309B" w:rsidR="00AE40A2">
        <w:rPr>
          <w:color w:val="auto"/>
        </w:rPr>
        <w:t>10–14</w:t>
      </w:r>
      <w:r w:rsidRPr="0053309B">
        <w:rPr>
          <w:color w:val="auto"/>
        </w:rPr>
        <w:t xml:space="preserve"> age group where there were a higher number of female victims. </w:t>
      </w:r>
    </w:p>
    <w:p w:rsidRPr="00401594" w:rsidR="00C84BBC" w:rsidP="00C84BBC" w:rsidRDefault="007D2B56" w14:paraId="00F29500" w14:textId="57F631B3">
      <w:pPr>
        <w:pStyle w:val="Heading2"/>
      </w:pPr>
      <w:bookmarkStart w:id="18" w:name="_Toc430272325"/>
      <w:bookmarkStart w:id="19" w:name="_Toc19538146"/>
      <w:r>
        <w:t>2</w:t>
      </w:r>
      <w:r w:rsidRPr="00401594" w:rsidR="00C84BBC">
        <w:t xml:space="preserve">.2 </w:t>
      </w:r>
      <w:r w:rsidR="009A5281">
        <w:t>Unique victims involved in f</w:t>
      </w:r>
      <w:r w:rsidR="00C84BBC">
        <w:t>amily violence</w:t>
      </w:r>
      <w:bookmarkEnd w:id="18"/>
      <w:bookmarkEnd w:id="19"/>
    </w:p>
    <w:p w:rsidRPr="0006251E" w:rsidR="00C84BBC" w:rsidP="00C84BBC" w:rsidRDefault="00C84BBC" w14:paraId="754AC27D" w14:textId="03E7819F">
      <w:pPr>
        <w:pStyle w:val="BodyTextSpaceAfter"/>
        <w:rPr>
          <w:color w:val="auto"/>
        </w:rPr>
      </w:pPr>
      <w:r w:rsidRPr="0006251E">
        <w:rPr>
          <w:color w:val="auto"/>
        </w:rPr>
        <w:t xml:space="preserve">Of the </w:t>
      </w:r>
      <w:r w:rsidRPr="0006251E" w:rsidR="001278A2">
        <w:rPr>
          <w:color w:val="auto"/>
        </w:rPr>
        <w:t>18</w:t>
      </w:r>
      <w:r w:rsidRPr="0006251E" w:rsidR="0006251E">
        <w:rPr>
          <w:color w:val="auto"/>
        </w:rPr>
        <w:t>6,812</w:t>
      </w:r>
      <w:r w:rsidRPr="0006251E">
        <w:rPr>
          <w:color w:val="auto"/>
        </w:rPr>
        <w:t xml:space="preserve"> unique victims recorded in </w:t>
      </w:r>
      <w:r w:rsidRPr="0006251E" w:rsidR="00227919">
        <w:rPr>
          <w:color w:val="auto"/>
        </w:rPr>
        <w:t>the year ending June 201</w:t>
      </w:r>
      <w:r w:rsidRPr="0006251E" w:rsidR="0048134C">
        <w:rPr>
          <w:color w:val="auto"/>
        </w:rPr>
        <w:t>9</w:t>
      </w:r>
      <w:r w:rsidRPr="0006251E">
        <w:rPr>
          <w:color w:val="auto"/>
        </w:rPr>
        <w:t xml:space="preserve">, </w:t>
      </w:r>
      <w:r w:rsidRPr="0006251E" w:rsidR="0006251E">
        <w:rPr>
          <w:color w:val="auto"/>
        </w:rPr>
        <w:t>27</w:t>
      </w:r>
      <w:r w:rsidR="00682A68">
        <w:rPr>
          <w:color w:val="auto"/>
        </w:rPr>
        <w:t>,768</w:t>
      </w:r>
      <w:r w:rsidRPr="0006251E" w:rsidR="00682A68">
        <w:rPr>
          <w:color w:val="auto"/>
        </w:rPr>
        <w:t xml:space="preserve"> </w:t>
      </w:r>
      <w:r w:rsidRPr="0006251E">
        <w:rPr>
          <w:color w:val="auto"/>
        </w:rPr>
        <w:t>were involved in a family incident at least once within the reference period</w:t>
      </w:r>
      <w:r w:rsidRPr="0006251E" w:rsidR="00E650BF">
        <w:rPr>
          <w:color w:val="auto"/>
        </w:rPr>
        <w:t xml:space="preserve"> as either an ‘affected family member’ or ‘other party’</w:t>
      </w:r>
      <w:r w:rsidRPr="0006251E">
        <w:rPr>
          <w:color w:val="auto"/>
        </w:rPr>
        <w:t>. Male</w:t>
      </w:r>
      <w:r w:rsidRPr="0006251E" w:rsidR="009A5281">
        <w:rPr>
          <w:color w:val="auto"/>
        </w:rPr>
        <w:t xml:space="preserve">s </w:t>
      </w:r>
      <w:r w:rsidRPr="0006251E">
        <w:rPr>
          <w:color w:val="auto"/>
        </w:rPr>
        <w:t xml:space="preserve">had a lower proportion of family related incidents </w:t>
      </w:r>
      <w:r w:rsidRPr="0006251E" w:rsidR="00227919">
        <w:rPr>
          <w:color w:val="auto"/>
        </w:rPr>
        <w:t xml:space="preserve">at </w:t>
      </w:r>
      <w:r w:rsidRPr="0006251E" w:rsidR="001D4B84">
        <w:rPr>
          <w:color w:val="auto"/>
        </w:rPr>
        <w:t>7.</w:t>
      </w:r>
      <w:r w:rsidRPr="0006251E" w:rsidR="0006251E">
        <w:rPr>
          <w:color w:val="auto"/>
        </w:rPr>
        <w:t>3</w:t>
      </w:r>
      <w:r w:rsidRPr="0006251E">
        <w:rPr>
          <w:color w:val="auto"/>
        </w:rPr>
        <w:t xml:space="preserve">%, whereas female victims who were involved in at least one family incident comprised </w:t>
      </w:r>
      <w:r w:rsidRPr="0006251E" w:rsidR="0006251E">
        <w:rPr>
          <w:color w:val="auto"/>
        </w:rPr>
        <w:t>24.6</w:t>
      </w:r>
      <w:r w:rsidRPr="0006251E">
        <w:rPr>
          <w:color w:val="auto"/>
        </w:rPr>
        <w:t>% of all female unique victims.</w:t>
      </w:r>
    </w:p>
    <w:p w:rsidRPr="0006251E" w:rsidR="00A95F35" w:rsidP="00A95F35" w:rsidRDefault="0006251E" w14:paraId="50143D08" w14:textId="215345B7">
      <w:pPr>
        <w:pStyle w:val="BodyTextSpaceAfter"/>
        <w:rPr>
          <w:color w:val="auto"/>
        </w:rPr>
      </w:pPr>
      <w:r w:rsidRPr="0006251E">
        <w:rPr>
          <w:color w:val="auto"/>
        </w:rPr>
        <w:t>The number of unique victims involved in a family incident in</w:t>
      </w:r>
      <w:r w:rsidRPr="0006251E" w:rsidR="00A95F35">
        <w:rPr>
          <w:color w:val="auto"/>
        </w:rPr>
        <w:t>creased for both males (</w:t>
      </w:r>
      <w:r w:rsidRPr="0006251E">
        <w:rPr>
          <w:color w:val="auto"/>
        </w:rPr>
        <w:t>1.6</w:t>
      </w:r>
      <w:r w:rsidRPr="0006251E" w:rsidR="00A95F35">
        <w:rPr>
          <w:color w:val="auto"/>
        </w:rPr>
        <w:t xml:space="preserve">% or </w:t>
      </w:r>
      <w:r w:rsidRPr="0006251E">
        <w:rPr>
          <w:color w:val="auto"/>
        </w:rPr>
        <w:t>118</w:t>
      </w:r>
      <w:r w:rsidRPr="0006251E" w:rsidR="00A95F35">
        <w:rPr>
          <w:color w:val="auto"/>
        </w:rPr>
        <w:t xml:space="preserve"> victims) and females (</w:t>
      </w:r>
      <w:r w:rsidRPr="0006251E">
        <w:rPr>
          <w:color w:val="auto"/>
        </w:rPr>
        <w:t>5.2</w:t>
      </w:r>
      <w:r w:rsidRPr="0006251E" w:rsidR="00A95F35">
        <w:rPr>
          <w:color w:val="auto"/>
        </w:rPr>
        <w:t xml:space="preserve">% or </w:t>
      </w:r>
      <w:r w:rsidRPr="0006251E">
        <w:rPr>
          <w:color w:val="auto"/>
        </w:rPr>
        <w:t>990</w:t>
      </w:r>
      <w:r w:rsidRPr="0006251E" w:rsidR="00A95F35">
        <w:rPr>
          <w:color w:val="auto"/>
        </w:rPr>
        <w:t xml:space="preserve"> victims) in the last 12 months. Since the year ending June 201</w:t>
      </w:r>
      <w:r w:rsidR="005901E8">
        <w:rPr>
          <w:color w:val="auto"/>
        </w:rPr>
        <w:t xml:space="preserve">5 </w:t>
      </w:r>
      <w:r w:rsidRPr="0006251E" w:rsidR="00A95F35">
        <w:rPr>
          <w:color w:val="auto"/>
        </w:rPr>
        <w:t xml:space="preserve">the number of unique victims </w:t>
      </w:r>
      <w:r w:rsidRPr="0006251E">
        <w:rPr>
          <w:color w:val="auto"/>
        </w:rPr>
        <w:t xml:space="preserve">involved in a family incident </w:t>
      </w:r>
      <w:r w:rsidRPr="0006251E" w:rsidR="00A95F35">
        <w:rPr>
          <w:color w:val="auto"/>
        </w:rPr>
        <w:t>has increased for both males (</w:t>
      </w:r>
      <w:r w:rsidRPr="0006251E">
        <w:rPr>
          <w:color w:val="auto"/>
        </w:rPr>
        <w:t>14.3</w:t>
      </w:r>
      <w:r w:rsidRPr="0006251E" w:rsidR="00A95F35">
        <w:rPr>
          <w:color w:val="auto"/>
        </w:rPr>
        <w:t xml:space="preserve">% or </w:t>
      </w:r>
      <w:r w:rsidRPr="0006251E">
        <w:rPr>
          <w:color w:val="auto"/>
        </w:rPr>
        <w:t>953</w:t>
      </w:r>
      <w:r w:rsidRPr="0006251E" w:rsidR="00A95F35">
        <w:rPr>
          <w:color w:val="auto"/>
        </w:rPr>
        <w:t xml:space="preserve"> victims) and females (</w:t>
      </w:r>
      <w:r w:rsidRPr="0006251E">
        <w:rPr>
          <w:color w:val="auto"/>
        </w:rPr>
        <w:t xml:space="preserve">19.4% or 3,265 </w:t>
      </w:r>
      <w:r w:rsidRPr="0006251E" w:rsidR="00A95F35">
        <w:rPr>
          <w:color w:val="auto"/>
        </w:rPr>
        <w:t>victims) in the last 12 months.</w:t>
      </w:r>
    </w:p>
    <w:p w:rsidRPr="002A2D0C" w:rsidR="00CE05DE" w:rsidP="00E47B87" w:rsidRDefault="00C84BBC" w14:paraId="33763872" w14:textId="77777777">
      <w:pPr>
        <w:pStyle w:val="BodyTextSpaceAfter"/>
        <w:spacing w:after="120"/>
        <w:rPr>
          <w:rFonts w:ascii="Roboto Condensed" w:hAnsi="Roboto Condensed"/>
          <w:b/>
          <w:color w:val="000000" w:themeColor="text1"/>
        </w:rPr>
      </w:pPr>
      <w:r w:rsidRPr="002A2D0C">
        <w:rPr>
          <w:rFonts w:ascii="Roboto Condensed" w:hAnsi="Roboto Condensed"/>
          <w:b/>
          <w:color w:val="000000" w:themeColor="text1"/>
        </w:rPr>
        <w:t xml:space="preserve">Unique victims </w:t>
      </w:r>
      <w:r w:rsidRPr="002A2D0C" w:rsidR="002A2D0C">
        <w:rPr>
          <w:rFonts w:ascii="Roboto Condensed" w:hAnsi="Roboto Condensed"/>
          <w:b/>
          <w:color w:val="000000" w:themeColor="text1"/>
        </w:rPr>
        <w:t xml:space="preserve">involved in a family incident </w:t>
      </w:r>
      <w:r w:rsidRPr="002A2D0C">
        <w:rPr>
          <w:rFonts w:ascii="Roboto Condensed" w:hAnsi="Roboto Condensed"/>
          <w:b/>
          <w:color w:val="000000" w:themeColor="text1"/>
        </w:rPr>
        <w:t>by sex</w:t>
      </w:r>
      <w:r w:rsidRPr="002A2D0C" w:rsidR="000D37F7">
        <w:rPr>
          <w:rFonts w:ascii="Roboto Condensed" w:hAnsi="Roboto Condensed"/>
          <w:b/>
          <w:color w:val="000000" w:themeColor="text1"/>
        </w:rPr>
        <w:t xml:space="preserve">, </w:t>
      </w:r>
      <w:r w:rsidR="00CA57B7">
        <w:rPr>
          <w:rFonts w:ascii="Roboto Condensed" w:hAnsi="Roboto Condensed"/>
          <w:b/>
          <w:color w:val="000000" w:themeColor="text1"/>
        </w:rPr>
        <w:t>5 year trend</w:t>
      </w:r>
    </w:p>
    <w:p w:rsidR="00E47B87" w:rsidP="004B2B7F" w:rsidRDefault="00EE5F7B" w14:paraId="59602D67" w14:textId="3CDB7A01">
      <w:pPr>
        <w:pStyle w:val="BodyTextSpaceAfter"/>
      </w:pPr>
      <w:bookmarkStart w:id="20" w:name="_Toc430272326"/>
      <w:r>
        <w:rPr>
          <w:noProof/>
          <w:lang w:val="en-AU" w:eastAsia="en-AU"/>
        </w:rPr>
        <w:drawing>
          <wp:inline distT="0" distB="0" distL="0" distR="0">
            <wp:extent cx="6120130" cy="3409315"/>
            <wp:effectExtent l="0" t="0" r="0" b="635"/>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24" name="Chart 24"/>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chart">
                <ns10:chart xmlns:ns10="http://schemas.openxmlformats.org/drawingml/2006/chart" r:id="rId41"/>
              </a:graphicData>
            </a:graphic>
          </wp:inline>
        </w:drawing>
      </w:r>
    </w:p>
    <w:p w:rsidR="00E47B87" w:rsidRDefault="00E47B87" w14:paraId="59BAA6E7" w14:textId="77777777">
      <w:pPr>
        <w:rPr>
          <w:rFonts w:ascii="Roboto Condensed" w:hAnsi="Roboto Condensed" w:cs="TradeGothic-Light"/>
          <w:color w:val="7CBAC0"/>
          <w:sz w:val="32"/>
          <w:szCs w:val="26"/>
          <w:lang w:val="en-GB"/>
        </w:rPr>
      </w:pPr>
      <w:r>
        <w:br w:type="page"/>
      </w:r>
    </w:p>
    <w:p w:rsidRPr="009A5281" w:rsidR="00C84BBC" w:rsidP="009A5281" w:rsidRDefault="007D2B56" w14:paraId="68A1C7A1" w14:textId="3C76B862">
      <w:pPr>
        <w:pStyle w:val="Heading2"/>
        <w:rPr>
          <w:b/>
          <w:color w:val="FF0000"/>
        </w:rPr>
      </w:pPr>
      <w:bookmarkStart w:id="21" w:name="_Toc19538147"/>
      <w:r>
        <w:lastRenderedPageBreak/>
        <w:t>2</w:t>
      </w:r>
      <w:r w:rsidR="00C84BBC">
        <w:t>.3</w:t>
      </w:r>
      <w:r w:rsidRPr="00401594" w:rsidR="00C84BBC">
        <w:t xml:space="preserve"> </w:t>
      </w:r>
      <w:r w:rsidR="00C84BBC">
        <w:t>Youth victims</w:t>
      </w:r>
      <w:bookmarkEnd w:id="20"/>
      <w:bookmarkEnd w:id="21"/>
    </w:p>
    <w:p w:rsidRPr="00D25C11" w:rsidR="00C84BBC" w:rsidP="00C84BBC" w:rsidRDefault="00227919" w14:paraId="217451EB" w14:textId="5F0E57E2">
      <w:pPr>
        <w:pStyle w:val="BodyTextSpaceAfter"/>
        <w:rPr>
          <w:color w:val="auto"/>
        </w:rPr>
      </w:pPr>
      <w:r w:rsidRPr="00D25C11">
        <w:rPr>
          <w:color w:val="auto"/>
        </w:rPr>
        <w:t>In the year ending</w:t>
      </w:r>
      <w:r w:rsidRPr="00D25C11" w:rsidR="00C84BBC">
        <w:rPr>
          <w:color w:val="auto"/>
        </w:rPr>
        <w:t xml:space="preserve"> </w:t>
      </w:r>
      <w:r w:rsidRPr="00D25C11">
        <w:rPr>
          <w:color w:val="auto"/>
        </w:rPr>
        <w:t>June 201</w:t>
      </w:r>
      <w:r w:rsidRPr="00D25C11" w:rsidR="0048134C">
        <w:rPr>
          <w:color w:val="auto"/>
        </w:rPr>
        <w:t>9</w:t>
      </w:r>
      <w:r w:rsidRPr="00D25C11" w:rsidR="00C84BBC">
        <w:rPr>
          <w:color w:val="auto"/>
        </w:rPr>
        <w:t xml:space="preserve">, there were </w:t>
      </w:r>
      <w:r w:rsidRPr="00D25C11" w:rsidR="0006251E">
        <w:rPr>
          <w:color w:val="auto"/>
        </w:rPr>
        <w:t>10,588</w:t>
      </w:r>
      <w:r w:rsidRPr="00D25C11" w:rsidR="00C84BBC">
        <w:rPr>
          <w:color w:val="auto"/>
        </w:rPr>
        <w:t xml:space="preserve"> unique victims aged under 18 years, </w:t>
      </w:r>
      <w:r w:rsidRPr="00D25C11" w:rsidR="00997C16">
        <w:rPr>
          <w:color w:val="auto"/>
        </w:rPr>
        <w:t>down</w:t>
      </w:r>
      <w:r w:rsidRPr="00D25C11" w:rsidR="00C84BBC">
        <w:rPr>
          <w:color w:val="auto"/>
        </w:rPr>
        <w:t xml:space="preserve"> </w:t>
      </w:r>
      <w:r w:rsidRPr="00D25C11" w:rsidR="0006251E">
        <w:rPr>
          <w:color w:val="auto"/>
        </w:rPr>
        <w:t>3.3</w:t>
      </w:r>
      <w:r w:rsidRPr="00D25C11" w:rsidR="00C84BBC">
        <w:rPr>
          <w:color w:val="auto"/>
        </w:rPr>
        <w:t xml:space="preserve">% </w:t>
      </w:r>
      <w:r w:rsidRPr="00D25C11" w:rsidR="0006251E">
        <w:rPr>
          <w:color w:val="auto"/>
        </w:rPr>
        <w:t>(</w:t>
      </w:r>
      <w:r w:rsidRPr="00D25C11" w:rsidR="00997C16">
        <w:rPr>
          <w:color w:val="auto"/>
        </w:rPr>
        <w:t>3</w:t>
      </w:r>
      <w:r w:rsidRPr="00D25C11" w:rsidR="0006251E">
        <w:rPr>
          <w:color w:val="auto"/>
        </w:rPr>
        <w:t>56</w:t>
      </w:r>
      <w:r w:rsidRPr="00D25C11" w:rsidR="00997C16">
        <w:rPr>
          <w:color w:val="auto"/>
        </w:rPr>
        <w:t xml:space="preserve"> victims) </w:t>
      </w:r>
      <w:r w:rsidRPr="00D25C11" w:rsidR="00C84BBC">
        <w:rPr>
          <w:color w:val="auto"/>
        </w:rPr>
        <w:t>compared to the same period last year.</w:t>
      </w:r>
      <w:r w:rsidRPr="00D25C11" w:rsidR="00997C16">
        <w:rPr>
          <w:color w:val="auto"/>
        </w:rPr>
        <w:t xml:space="preserve"> This was driven by a </w:t>
      </w:r>
      <w:r w:rsidRPr="00D25C11" w:rsidR="0006251E">
        <w:rPr>
          <w:color w:val="auto"/>
        </w:rPr>
        <w:t>5.2</w:t>
      </w:r>
      <w:r w:rsidRPr="00D25C11" w:rsidR="00997C16">
        <w:rPr>
          <w:color w:val="auto"/>
        </w:rPr>
        <w:t>% (</w:t>
      </w:r>
      <w:r w:rsidRPr="00D25C11" w:rsidR="0006251E">
        <w:rPr>
          <w:color w:val="auto"/>
        </w:rPr>
        <w:t>287</w:t>
      </w:r>
      <w:r w:rsidRPr="00D25C11" w:rsidR="00002279">
        <w:rPr>
          <w:color w:val="auto"/>
        </w:rPr>
        <w:t xml:space="preserve"> </w:t>
      </w:r>
      <w:r w:rsidRPr="00D25C11" w:rsidR="00997C16">
        <w:rPr>
          <w:color w:val="auto"/>
        </w:rPr>
        <w:t>victims) decrease i</w:t>
      </w:r>
      <w:r w:rsidRPr="00D25C11" w:rsidR="0006251E">
        <w:rPr>
          <w:color w:val="auto"/>
        </w:rPr>
        <w:t>n female victims. Male victims also decreased 1.3% (71</w:t>
      </w:r>
      <w:r w:rsidRPr="00D25C11" w:rsidR="00997C16">
        <w:rPr>
          <w:color w:val="auto"/>
        </w:rPr>
        <w:t xml:space="preserve"> victims) in the last 12 months. </w:t>
      </w:r>
      <w:r w:rsidRPr="00D25C11" w:rsidR="008C406B">
        <w:rPr>
          <w:color w:val="auto"/>
        </w:rPr>
        <w:t xml:space="preserve">Youth victims comprised </w:t>
      </w:r>
      <w:r w:rsidRPr="00D25C11" w:rsidR="00075B34">
        <w:rPr>
          <w:color w:val="auto"/>
        </w:rPr>
        <w:t>5.</w:t>
      </w:r>
      <w:r w:rsidRPr="00D25C11" w:rsidR="0006251E">
        <w:rPr>
          <w:color w:val="auto"/>
        </w:rPr>
        <w:t>7</w:t>
      </w:r>
      <w:r w:rsidRPr="00D25C11" w:rsidR="009A5281">
        <w:rPr>
          <w:color w:val="auto"/>
        </w:rPr>
        <w:t>% of all unique victims, with</w:t>
      </w:r>
      <w:r w:rsidRPr="00D25C11">
        <w:rPr>
          <w:color w:val="auto"/>
        </w:rPr>
        <w:t xml:space="preserve"> </w:t>
      </w:r>
      <w:r w:rsidRPr="00D25C11" w:rsidR="0006251E">
        <w:rPr>
          <w:color w:val="auto"/>
        </w:rPr>
        <w:t>50.2</w:t>
      </w:r>
      <w:r w:rsidRPr="00D25C11" w:rsidR="00C84BBC">
        <w:rPr>
          <w:color w:val="auto"/>
        </w:rPr>
        <w:t>% (</w:t>
      </w:r>
      <w:r w:rsidRPr="00D25C11">
        <w:rPr>
          <w:color w:val="auto"/>
        </w:rPr>
        <w:t>5,</w:t>
      </w:r>
      <w:r w:rsidRPr="00D25C11" w:rsidR="0006251E">
        <w:rPr>
          <w:color w:val="auto"/>
        </w:rPr>
        <w:t>319</w:t>
      </w:r>
      <w:r w:rsidRPr="00D25C11" w:rsidR="00C84BBC">
        <w:rPr>
          <w:color w:val="auto"/>
        </w:rPr>
        <w:t xml:space="preserve">) </w:t>
      </w:r>
      <w:r w:rsidRPr="00D25C11" w:rsidR="009A5281">
        <w:rPr>
          <w:color w:val="auto"/>
        </w:rPr>
        <w:t>being</w:t>
      </w:r>
      <w:r w:rsidRPr="00D25C11" w:rsidR="00C84BBC">
        <w:rPr>
          <w:color w:val="auto"/>
        </w:rPr>
        <w:t xml:space="preserve"> male and </w:t>
      </w:r>
      <w:r w:rsidRPr="00D25C11" w:rsidR="0006251E">
        <w:rPr>
          <w:color w:val="auto"/>
        </w:rPr>
        <w:t>49.7</w:t>
      </w:r>
      <w:r w:rsidRPr="00D25C11" w:rsidR="00C84BBC">
        <w:rPr>
          <w:color w:val="auto"/>
        </w:rPr>
        <w:t>% (</w:t>
      </w:r>
      <w:r w:rsidRPr="00D25C11">
        <w:rPr>
          <w:color w:val="auto"/>
        </w:rPr>
        <w:t>5,</w:t>
      </w:r>
      <w:r w:rsidRPr="00D25C11" w:rsidR="0006251E">
        <w:rPr>
          <w:color w:val="auto"/>
        </w:rPr>
        <w:t>267</w:t>
      </w:r>
      <w:r w:rsidRPr="00D25C11" w:rsidR="00C84BBC">
        <w:rPr>
          <w:color w:val="auto"/>
        </w:rPr>
        <w:t>) female</w:t>
      </w:r>
      <w:r w:rsidRPr="00D25C11" w:rsidR="009A5281">
        <w:rPr>
          <w:color w:val="auto"/>
        </w:rPr>
        <w:t xml:space="preserve">. </w:t>
      </w:r>
      <w:r w:rsidRPr="00D25C11" w:rsidR="002F3497">
        <w:rPr>
          <w:color w:val="auto"/>
        </w:rPr>
        <w:t>Almost half</w:t>
      </w:r>
      <w:r w:rsidRPr="00D25C11" w:rsidR="00C84BBC">
        <w:rPr>
          <w:color w:val="auto"/>
        </w:rPr>
        <w:t xml:space="preserve"> of youth victims </w:t>
      </w:r>
      <w:r w:rsidRPr="00D25C11" w:rsidR="009A5281">
        <w:rPr>
          <w:color w:val="auto"/>
        </w:rPr>
        <w:t xml:space="preserve">were </w:t>
      </w:r>
      <w:r w:rsidRPr="00D25C11" w:rsidR="00ED643B">
        <w:rPr>
          <w:color w:val="auto"/>
        </w:rPr>
        <w:t>aged between 15</w:t>
      </w:r>
      <w:r w:rsidRPr="00D25C11" w:rsidR="00C84BBC">
        <w:rPr>
          <w:color w:val="auto"/>
        </w:rPr>
        <w:t xml:space="preserve"> and 17 years</w:t>
      </w:r>
      <w:r w:rsidRPr="00D25C11" w:rsidR="009A5281">
        <w:rPr>
          <w:color w:val="auto"/>
        </w:rPr>
        <w:t xml:space="preserve"> in the last 12 months</w:t>
      </w:r>
      <w:r w:rsidRPr="00D25C11" w:rsidR="0006251E">
        <w:rPr>
          <w:color w:val="auto"/>
        </w:rPr>
        <w:t xml:space="preserve"> (47.0%)</w:t>
      </w:r>
      <w:r w:rsidRPr="00D25C11" w:rsidR="00C84BBC">
        <w:rPr>
          <w:color w:val="auto"/>
        </w:rPr>
        <w:t>.</w:t>
      </w:r>
    </w:p>
    <w:p w:rsidRPr="00F334A0" w:rsidR="00C84BBC" w:rsidP="00E47B87" w:rsidRDefault="00C84BBC" w14:paraId="06776377" w14:textId="0FB966E7">
      <w:pPr>
        <w:pStyle w:val="BodyTextSpaceAfter"/>
        <w:spacing w:after="120"/>
        <w:rPr>
          <w:rFonts w:ascii="Roboto Condensed" w:hAnsi="Roboto Condensed"/>
          <w:noProof/>
          <w:color w:val="000000" w:themeColor="text1"/>
          <w:lang w:val="en-AU" w:eastAsia="en-AU"/>
        </w:rPr>
      </w:pPr>
      <w:r w:rsidRPr="00F334A0">
        <w:rPr>
          <w:rFonts w:ascii="Roboto Condensed" w:hAnsi="Roboto Condensed"/>
          <w:b/>
          <w:color w:val="000000" w:themeColor="text1"/>
        </w:rPr>
        <w:t xml:space="preserve">Unique youth victims </w:t>
      </w:r>
      <w:r w:rsidRPr="00F334A0" w:rsidR="000D37F7">
        <w:rPr>
          <w:rFonts w:ascii="Roboto Condensed" w:hAnsi="Roboto Condensed"/>
          <w:b/>
          <w:color w:val="000000" w:themeColor="text1"/>
        </w:rPr>
        <w:t xml:space="preserve">by sex, July </w:t>
      </w:r>
      <w:r w:rsidR="004B2B7F">
        <w:rPr>
          <w:rFonts w:ascii="Roboto Condensed" w:hAnsi="Roboto Condensed"/>
          <w:b/>
          <w:color w:val="000000" w:themeColor="text1"/>
        </w:rPr>
        <w:t>201</w:t>
      </w:r>
      <w:r w:rsidR="0048134C">
        <w:rPr>
          <w:rFonts w:ascii="Roboto Condensed" w:hAnsi="Roboto Condensed"/>
          <w:b/>
          <w:color w:val="000000" w:themeColor="text1"/>
        </w:rPr>
        <w:t>4</w:t>
      </w:r>
      <w:r w:rsidRPr="00F334A0" w:rsidR="000D37F7">
        <w:rPr>
          <w:rFonts w:ascii="Roboto Condensed" w:hAnsi="Roboto Condensed"/>
          <w:b/>
          <w:color w:val="000000" w:themeColor="text1"/>
        </w:rPr>
        <w:t xml:space="preserve"> to June </w:t>
      </w:r>
      <w:r w:rsidR="00AD22EF">
        <w:rPr>
          <w:rFonts w:ascii="Roboto Condensed" w:hAnsi="Roboto Condensed"/>
          <w:b/>
          <w:color w:val="000000" w:themeColor="text1"/>
        </w:rPr>
        <w:t>201</w:t>
      </w:r>
      <w:r w:rsidR="0048134C">
        <w:rPr>
          <w:rFonts w:ascii="Roboto Condensed" w:hAnsi="Roboto Condensed"/>
          <w:b/>
          <w:color w:val="000000" w:themeColor="text1"/>
        </w:rPr>
        <w:t>9</w:t>
      </w:r>
    </w:p>
    <w:p w:rsidR="001D4B84" w:rsidP="004B2B7F" w:rsidRDefault="00EE5F7B" w14:paraId="2D2F7D76" w14:textId="1C4EC242">
      <w:pPr>
        <w:pStyle w:val="BodyTextSpaceAfter"/>
      </w:pPr>
      <w:bookmarkStart w:id="22" w:name="_Toc430272327"/>
      <w:r>
        <w:rPr>
          <w:noProof/>
          <w:lang w:val="en-AU" w:eastAsia="en-AU"/>
        </w:rPr>
        <w:drawing>
          <wp:inline distT="0" distB="0" distL="0" distR="0">
            <wp:extent cx="6008400" cy="3348000"/>
            <wp:effectExtent l="0" t="0" r="11430" b="5080"/>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25" name="Chart 25"/>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chart">
                <ns11:chart xmlns:ns11="http://schemas.openxmlformats.org/drawingml/2006/chart" r:id="rId42"/>
              </a:graphicData>
            </a:graphic>
          </wp:inline>
        </w:drawing>
      </w:r>
    </w:p>
    <w:p w:rsidR="00E47B87" w:rsidRDefault="00E47B87" w14:paraId="11ECD84F" w14:textId="3F65D886">
      <w:pPr>
        <w:rPr>
          <w:rFonts w:ascii="Roboto Condensed" w:hAnsi="Roboto Condensed" w:cs="TradeGothic-Light"/>
          <w:color w:val="7CBAC0"/>
          <w:sz w:val="32"/>
          <w:szCs w:val="26"/>
          <w:lang w:val="en-GB"/>
        </w:rPr>
      </w:pPr>
      <w:r>
        <w:br w:type="page"/>
      </w:r>
    </w:p>
    <w:p w:rsidRPr="009A5281" w:rsidR="00C84BBC" w:rsidP="009A5281" w:rsidRDefault="007D2B56" w14:paraId="46330A44" w14:textId="70946874">
      <w:pPr>
        <w:pStyle w:val="Heading2"/>
        <w:rPr>
          <w:b/>
          <w:color w:val="FF0000"/>
        </w:rPr>
      </w:pPr>
      <w:bookmarkStart w:id="23" w:name="_Toc19538148"/>
      <w:r>
        <w:lastRenderedPageBreak/>
        <w:t>2</w:t>
      </w:r>
      <w:r w:rsidR="00C84BBC">
        <w:t>.4</w:t>
      </w:r>
      <w:r w:rsidRPr="00401594" w:rsidR="00C84BBC">
        <w:t xml:space="preserve"> </w:t>
      </w:r>
      <w:r w:rsidR="00C84BBC">
        <w:t>Repeat victimisation</w:t>
      </w:r>
      <w:bookmarkEnd w:id="22"/>
      <w:bookmarkEnd w:id="23"/>
      <w:r w:rsidR="00C84BBC">
        <w:t xml:space="preserve"> </w:t>
      </w:r>
    </w:p>
    <w:p w:rsidRPr="004B2B7F" w:rsidR="00C84BBC" w:rsidP="00C84BBC" w:rsidRDefault="00C84BBC" w14:paraId="2F1DBC0E" w14:textId="77777777">
      <w:pPr>
        <w:pStyle w:val="BodyTextSpaceAfter"/>
        <w:rPr>
          <w:color w:val="0070C0"/>
        </w:rPr>
      </w:pPr>
      <w:r w:rsidRPr="009F6002">
        <w:rPr>
          <w:color w:val="auto"/>
        </w:rPr>
        <w:t xml:space="preserve">Repeat victimisation is </w:t>
      </w:r>
      <w:r w:rsidRPr="009F6002" w:rsidR="0055375D">
        <w:rPr>
          <w:color w:val="auto"/>
        </w:rPr>
        <w:t>counted</w:t>
      </w:r>
      <w:r w:rsidRPr="009F6002">
        <w:rPr>
          <w:color w:val="auto"/>
        </w:rPr>
        <w:t xml:space="preserve"> when people have had more than one victim report recorded w</w:t>
      </w:r>
      <w:r w:rsidRPr="009F6002" w:rsidR="0055375D">
        <w:rPr>
          <w:color w:val="auto"/>
        </w:rPr>
        <w:t xml:space="preserve">ithin a 12 month </w:t>
      </w:r>
      <w:r w:rsidRPr="009F6002">
        <w:rPr>
          <w:color w:val="auto"/>
        </w:rPr>
        <w:t xml:space="preserve">period. People who have been victimised across more than one reference period will be counted in each of the reference periods that they reported being a victim. </w:t>
      </w:r>
    </w:p>
    <w:p w:rsidRPr="005C25BD" w:rsidR="00C84BBC" w:rsidP="00C84BBC" w:rsidRDefault="00C84BBC" w14:paraId="22C42766" w14:textId="75EBB451">
      <w:pPr>
        <w:pStyle w:val="BodyTextSpaceAfter"/>
        <w:rPr>
          <w:color w:val="auto"/>
        </w:rPr>
      </w:pPr>
      <w:r w:rsidRPr="005C25BD">
        <w:rPr>
          <w:color w:val="auto"/>
        </w:rPr>
        <w:t xml:space="preserve">Of the </w:t>
      </w:r>
      <w:r w:rsidRPr="005C25BD" w:rsidR="009F6002">
        <w:rPr>
          <w:color w:val="auto"/>
        </w:rPr>
        <w:t>18</w:t>
      </w:r>
      <w:r w:rsidRPr="005C25BD" w:rsidR="00F03A4A">
        <w:rPr>
          <w:color w:val="auto"/>
        </w:rPr>
        <w:t>6</w:t>
      </w:r>
      <w:r w:rsidRPr="005C25BD" w:rsidR="009F6002">
        <w:rPr>
          <w:color w:val="auto"/>
        </w:rPr>
        <w:t>,</w:t>
      </w:r>
      <w:r w:rsidR="00995691">
        <w:rPr>
          <w:color w:val="auto"/>
        </w:rPr>
        <w:t>812</w:t>
      </w:r>
      <w:r w:rsidRPr="005C25BD" w:rsidR="00995691">
        <w:rPr>
          <w:color w:val="auto"/>
        </w:rPr>
        <w:t xml:space="preserve"> </w:t>
      </w:r>
      <w:r w:rsidRPr="005C25BD">
        <w:rPr>
          <w:color w:val="auto"/>
        </w:rPr>
        <w:t xml:space="preserve">person victims recorded in the year to </w:t>
      </w:r>
      <w:r w:rsidRPr="005C25BD" w:rsidR="00227919">
        <w:rPr>
          <w:color w:val="auto"/>
        </w:rPr>
        <w:t xml:space="preserve">June </w:t>
      </w:r>
      <w:r w:rsidRPr="005C25BD" w:rsidR="0096532C">
        <w:rPr>
          <w:color w:val="auto"/>
        </w:rPr>
        <w:t>201</w:t>
      </w:r>
      <w:r w:rsidRPr="005C25BD" w:rsidR="0048134C">
        <w:rPr>
          <w:color w:val="auto"/>
        </w:rPr>
        <w:t>9</w:t>
      </w:r>
      <w:r w:rsidRPr="005C25BD" w:rsidR="0096532C">
        <w:rPr>
          <w:color w:val="auto"/>
        </w:rPr>
        <w:t xml:space="preserve">, </w:t>
      </w:r>
      <w:r w:rsidRPr="005C25BD" w:rsidR="00B96E97">
        <w:rPr>
          <w:color w:val="auto"/>
        </w:rPr>
        <w:t>91.</w:t>
      </w:r>
      <w:r w:rsidRPr="005C25BD" w:rsidR="00F03A4A">
        <w:rPr>
          <w:color w:val="auto"/>
        </w:rPr>
        <w:t>8</w:t>
      </w:r>
      <w:r w:rsidRPr="005C25BD">
        <w:rPr>
          <w:color w:val="auto"/>
        </w:rPr>
        <w:t>% (</w:t>
      </w:r>
      <w:r w:rsidRPr="005C25BD" w:rsidR="001741B1">
        <w:rPr>
          <w:color w:val="auto"/>
        </w:rPr>
        <w:t>17</w:t>
      </w:r>
      <w:r w:rsidRPr="005C25BD" w:rsidR="00F03A4A">
        <w:rPr>
          <w:color w:val="auto"/>
        </w:rPr>
        <w:t>1</w:t>
      </w:r>
      <w:r w:rsidRPr="005C25BD" w:rsidR="001741B1">
        <w:rPr>
          <w:color w:val="auto"/>
        </w:rPr>
        <w:t>,</w:t>
      </w:r>
      <w:r w:rsidRPr="005C25BD" w:rsidR="00F03A4A">
        <w:rPr>
          <w:color w:val="auto"/>
        </w:rPr>
        <w:t>474</w:t>
      </w:r>
      <w:r w:rsidRPr="005C25BD">
        <w:rPr>
          <w:color w:val="auto"/>
        </w:rPr>
        <w:t xml:space="preserve">) of victims only had one report recorded by police within the reference period, and there was very little variation between males and females. Of the remaining victims </w:t>
      </w:r>
      <w:r w:rsidRPr="005C25BD" w:rsidR="001741B1">
        <w:rPr>
          <w:color w:val="auto"/>
        </w:rPr>
        <w:t>15,</w:t>
      </w:r>
      <w:r w:rsidRPr="005C25BD" w:rsidR="006D7DC1">
        <w:rPr>
          <w:color w:val="auto"/>
        </w:rPr>
        <w:t>33</w:t>
      </w:r>
      <w:r w:rsidR="006D7DC1">
        <w:rPr>
          <w:color w:val="auto"/>
        </w:rPr>
        <w:t>8</w:t>
      </w:r>
      <w:r w:rsidRPr="005C25BD" w:rsidR="006D7DC1">
        <w:rPr>
          <w:color w:val="auto"/>
        </w:rPr>
        <w:t xml:space="preserve"> </w:t>
      </w:r>
      <w:r w:rsidRPr="005C25BD">
        <w:rPr>
          <w:color w:val="auto"/>
        </w:rPr>
        <w:t>(</w:t>
      </w:r>
      <w:r w:rsidRPr="005C25BD" w:rsidR="001741B1">
        <w:rPr>
          <w:color w:val="auto"/>
        </w:rPr>
        <w:t>8.</w:t>
      </w:r>
      <w:r w:rsidRPr="005C25BD" w:rsidR="00F03A4A">
        <w:rPr>
          <w:color w:val="auto"/>
        </w:rPr>
        <w:t>2</w:t>
      </w:r>
      <w:r w:rsidRPr="005C25BD">
        <w:rPr>
          <w:color w:val="auto"/>
        </w:rPr>
        <w:t xml:space="preserve">%) had </w:t>
      </w:r>
      <w:r w:rsidRPr="005C25BD" w:rsidR="001741B1">
        <w:rPr>
          <w:color w:val="auto"/>
        </w:rPr>
        <w:t>more than one</w:t>
      </w:r>
      <w:r w:rsidRPr="005C25BD" w:rsidR="00F03A4A">
        <w:rPr>
          <w:color w:val="auto"/>
        </w:rPr>
        <w:t xml:space="preserve"> victim report</w:t>
      </w:r>
      <w:r w:rsidRPr="005C25BD">
        <w:rPr>
          <w:color w:val="auto"/>
        </w:rPr>
        <w:t xml:space="preserve"> within the reference period. There were also </w:t>
      </w:r>
      <w:r w:rsidRPr="005C25BD" w:rsidR="0096532C">
        <w:rPr>
          <w:color w:val="auto"/>
        </w:rPr>
        <w:t>2</w:t>
      </w:r>
      <w:r w:rsidRPr="005C25BD" w:rsidR="008D055A">
        <w:rPr>
          <w:color w:val="auto"/>
        </w:rPr>
        <w:t>,</w:t>
      </w:r>
      <w:r w:rsidRPr="005C25BD" w:rsidR="005C25BD">
        <w:rPr>
          <w:color w:val="auto"/>
        </w:rPr>
        <w:t>841</w:t>
      </w:r>
      <w:r w:rsidRPr="005C25BD">
        <w:rPr>
          <w:color w:val="auto"/>
        </w:rPr>
        <w:t xml:space="preserve"> victims with three or more incidents of victimisation recorded in </w:t>
      </w:r>
      <w:r w:rsidRPr="005C25BD" w:rsidR="00227919">
        <w:rPr>
          <w:color w:val="auto"/>
        </w:rPr>
        <w:t xml:space="preserve">the </w:t>
      </w:r>
      <w:r w:rsidRPr="005C25BD" w:rsidR="0055375D">
        <w:rPr>
          <w:color w:val="auto"/>
        </w:rPr>
        <w:t>last 12 months.</w:t>
      </w:r>
    </w:p>
    <w:p w:rsidRPr="00F334A0" w:rsidR="00C84BBC" w:rsidP="00C84BBC" w:rsidRDefault="00C84BBC" w14:paraId="5A284460" w14:textId="6E718A8C">
      <w:pPr>
        <w:pStyle w:val="BodyTextSpaceAfter"/>
        <w:rPr>
          <w:rFonts w:ascii="Roboto Condensed" w:hAnsi="Roboto Condensed"/>
          <w:b/>
          <w:color w:val="000000" w:themeColor="text1"/>
        </w:rPr>
      </w:pPr>
      <w:r w:rsidRPr="00F334A0">
        <w:rPr>
          <w:rFonts w:ascii="Roboto Condensed" w:hAnsi="Roboto Condensed"/>
          <w:b/>
          <w:color w:val="000000" w:themeColor="text1"/>
        </w:rPr>
        <w:t xml:space="preserve">Proportion of multiple victim reports recorded within the reference period, July </w:t>
      </w:r>
      <w:r w:rsidR="004B2B7F">
        <w:rPr>
          <w:rFonts w:ascii="Roboto Condensed" w:hAnsi="Roboto Condensed"/>
          <w:b/>
          <w:color w:val="000000" w:themeColor="text1"/>
        </w:rPr>
        <w:t>201</w:t>
      </w:r>
      <w:r w:rsidR="002A2C48">
        <w:rPr>
          <w:rFonts w:ascii="Roboto Condensed" w:hAnsi="Roboto Condensed"/>
          <w:b/>
          <w:color w:val="000000" w:themeColor="text1"/>
        </w:rPr>
        <w:t>4</w:t>
      </w:r>
      <w:r w:rsidRPr="00F334A0" w:rsidR="000D37F7">
        <w:rPr>
          <w:rFonts w:ascii="Roboto Condensed" w:hAnsi="Roboto Condensed"/>
          <w:b/>
          <w:color w:val="000000" w:themeColor="text1"/>
        </w:rPr>
        <w:t xml:space="preserve"> to June </w:t>
      </w:r>
      <w:r w:rsidR="00AD22EF">
        <w:rPr>
          <w:rFonts w:ascii="Roboto Condensed" w:hAnsi="Roboto Condensed"/>
          <w:b/>
          <w:color w:val="000000" w:themeColor="text1"/>
        </w:rPr>
        <w:t>201</w:t>
      </w:r>
      <w:r w:rsidR="0048134C">
        <w:rPr>
          <w:rFonts w:ascii="Roboto Condensed" w:hAnsi="Roboto Condensed"/>
          <w:b/>
          <w:color w:val="000000" w:themeColor="text1"/>
        </w:rPr>
        <w:t>9</w:t>
      </w:r>
    </w:p>
    <w:p w:rsidRPr="000D37F7" w:rsidR="00CE05DE" w:rsidP="00C84BBC" w:rsidRDefault="00EE5F7B" w14:paraId="55D40C49" w14:textId="276307B9">
      <w:pPr>
        <w:pStyle w:val="BodyTextSpaceAfter"/>
        <w:rPr>
          <w:b/>
          <w:color w:val="000000" w:themeColor="text1"/>
        </w:rPr>
      </w:pPr>
      <w:r>
        <w:rPr>
          <w:noProof/>
          <w:lang w:val="en-AU" w:eastAsia="en-AU"/>
        </w:rPr>
        <w:drawing>
          <wp:inline distT="0" distB="0" distL="0" distR="0">
            <wp:extent cx="6008400" cy="3347537"/>
            <wp:effectExtent l="0" t="0" r="11430" b="5715"/>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26" name="Chart 26"/>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chart">
                <ns12:chart xmlns:ns12="http://schemas.openxmlformats.org/drawingml/2006/chart" r:id="rId43"/>
              </a:graphicData>
            </a:graphic>
          </wp:inline>
        </w:drawing>
      </w:r>
    </w:p>
    <w:p w:rsidRPr="00584359" w:rsidR="00E50585" w:rsidP="00E50585" w:rsidRDefault="00E50585" w14:paraId="42E83E8F" w14:textId="2022CD44">
      <w:pPr>
        <w:pStyle w:val="BodyTextSpaceAfter"/>
        <w:rPr>
          <w:color w:val="auto"/>
        </w:rPr>
      </w:pPr>
      <w:r w:rsidRPr="00584359">
        <w:rPr>
          <w:color w:val="auto"/>
        </w:rPr>
        <w:t>Those who were most likely to experience repeat victimisation were females between 1</w:t>
      </w:r>
      <w:r w:rsidRPr="00584359" w:rsidR="00584359">
        <w:rPr>
          <w:color w:val="auto"/>
        </w:rPr>
        <w:t>0</w:t>
      </w:r>
      <w:r w:rsidRPr="00584359">
        <w:rPr>
          <w:color w:val="auto"/>
        </w:rPr>
        <w:t>–1</w:t>
      </w:r>
      <w:r w:rsidRPr="00584359" w:rsidR="00584359">
        <w:rPr>
          <w:color w:val="auto"/>
        </w:rPr>
        <w:t>4</w:t>
      </w:r>
      <w:r w:rsidRPr="00584359">
        <w:rPr>
          <w:color w:val="auto"/>
        </w:rPr>
        <w:t xml:space="preserve"> years. Of the </w:t>
      </w:r>
      <w:r w:rsidRPr="00584359" w:rsidR="00584359">
        <w:rPr>
          <w:color w:val="auto"/>
        </w:rPr>
        <w:t xml:space="preserve">1,896 </w:t>
      </w:r>
      <w:r w:rsidRPr="00584359">
        <w:rPr>
          <w:color w:val="auto"/>
        </w:rPr>
        <w:t>female victims aged 1</w:t>
      </w:r>
      <w:r w:rsidRPr="00584359" w:rsidR="00584359">
        <w:rPr>
          <w:color w:val="auto"/>
        </w:rPr>
        <w:t>0</w:t>
      </w:r>
      <w:r w:rsidRPr="00584359" w:rsidR="00E0344D">
        <w:rPr>
          <w:color w:val="auto"/>
        </w:rPr>
        <w:t>–1</w:t>
      </w:r>
      <w:r w:rsidRPr="00584359" w:rsidR="00584359">
        <w:rPr>
          <w:color w:val="auto"/>
        </w:rPr>
        <w:t>4</w:t>
      </w:r>
      <w:r w:rsidRPr="00584359">
        <w:rPr>
          <w:color w:val="auto"/>
        </w:rPr>
        <w:t xml:space="preserve"> years, 1</w:t>
      </w:r>
      <w:r w:rsidRPr="00584359" w:rsidR="00584359">
        <w:rPr>
          <w:color w:val="auto"/>
        </w:rPr>
        <w:t>1</w:t>
      </w:r>
      <w:r w:rsidRPr="00584359">
        <w:rPr>
          <w:color w:val="auto"/>
        </w:rPr>
        <w:t>.</w:t>
      </w:r>
      <w:r w:rsidRPr="00584359" w:rsidR="00584359">
        <w:rPr>
          <w:color w:val="auto"/>
        </w:rPr>
        <w:t>0</w:t>
      </w:r>
      <w:r w:rsidRPr="00584359">
        <w:rPr>
          <w:color w:val="auto"/>
        </w:rPr>
        <w:t>% (</w:t>
      </w:r>
      <w:r w:rsidRPr="00584359" w:rsidR="00584359">
        <w:rPr>
          <w:color w:val="auto"/>
        </w:rPr>
        <w:t>209</w:t>
      </w:r>
      <w:r w:rsidRPr="00584359" w:rsidR="00002279">
        <w:rPr>
          <w:color w:val="auto"/>
        </w:rPr>
        <w:t xml:space="preserve"> victims</w:t>
      </w:r>
      <w:r w:rsidRPr="00584359">
        <w:rPr>
          <w:color w:val="auto"/>
        </w:rPr>
        <w:t>) had more than one victim report recorded in the reference period</w:t>
      </w:r>
      <w:r w:rsidRPr="00584359" w:rsidR="00E67BE3">
        <w:rPr>
          <w:color w:val="auto"/>
        </w:rPr>
        <w:t xml:space="preserve">. </w:t>
      </w:r>
    </w:p>
    <w:p w:rsidRPr="00584359" w:rsidR="00882CDC" w:rsidP="00C84BBC" w:rsidRDefault="00C84BBC" w14:paraId="62B4DF52" w14:textId="3476BF0A">
      <w:pPr>
        <w:pStyle w:val="BodyTextSpaceAfter"/>
        <w:rPr>
          <w:color w:val="auto"/>
        </w:rPr>
      </w:pPr>
      <w:r w:rsidRPr="00584359">
        <w:rPr>
          <w:color w:val="auto"/>
        </w:rPr>
        <w:t xml:space="preserve">Organisations had higher proportions </w:t>
      </w:r>
      <w:r w:rsidRPr="00584359" w:rsidR="00C170B5">
        <w:rPr>
          <w:color w:val="auto"/>
        </w:rPr>
        <w:t>of repeat victimisation</w:t>
      </w:r>
      <w:r w:rsidRPr="00584359">
        <w:rPr>
          <w:color w:val="auto"/>
        </w:rPr>
        <w:t xml:space="preserve">. There were </w:t>
      </w:r>
      <w:r w:rsidRPr="00584359" w:rsidR="00584359">
        <w:rPr>
          <w:color w:val="auto"/>
        </w:rPr>
        <w:t>39,355</w:t>
      </w:r>
      <w:r w:rsidRPr="00584359">
        <w:rPr>
          <w:color w:val="auto"/>
        </w:rPr>
        <w:t xml:space="preserve"> victims recorded that were </w:t>
      </w:r>
      <w:r w:rsidRPr="00584359" w:rsidR="001B64E2">
        <w:rPr>
          <w:color w:val="auto"/>
        </w:rPr>
        <w:t xml:space="preserve">identified as </w:t>
      </w:r>
      <w:r w:rsidRPr="00584359">
        <w:rPr>
          <w:color w:val="auto"/>
        </w:rPr>
        <w:t xml:space="preserve">organisations, of which </w:t>
      </w:r>
      <w:r w:rsidRPr="00584359" w:rsidR="00584359">
        <w:rPr>
          <w:color w:val="auto"/>
        </w:rPr>
        <w:t>10,818</w:t>
      </w:r>
      <w:r w:rsidRPr="00584359">
        <w:rPr>
          <w:color w:val="auto"/>
        </w:rPr>
        <w:t xml:space="preserve"> (</w:t>
      </w:r>
      <w:r w:rsidRPr="00584359" w:rsidR="00584359">
        <w:rPr>
          <w:color w:val="auto"/>
        </w:rPr>
        <w:t>27.5</w:t>
      </w:r>
      <w:r w:rsidRPr="00584359">
        <w:rPr>
          <w:color w:val="auto"/>
        </w:rPr>
        <w:t xml:space="preserve">%) reported being a victim on more than one occasion. There were also </w:t>
      </w:r>
      <w:r w:rsidRPr="00584359" w:rsidR="00E0344D">
        <w:rPr>
          <w:color w:val="auto"/>
        </w:rPr>
        <w:t>2,</w:t>
      </w:r>
      <w:r w:rsidRPr="00584359" w:rsidR="00584359">
        <w:rPr>
          <w:color w:val="auto"/>
        </w:rPr>
        <w:t>686</w:t>
      </w:r>
      <w:r w:rsidRPr="00584359">
        <w:rPr>
          <w:color w:val="auto"/>
        </w:rPr>
        <w:t xml:space="preserve"> organisation victims with five or mor</w:t>
      </w:r>
      <w:r w:rsidRPr="00584359" w:rsidR="00C170B5">
        <w:rPr>
          <w:color w:val="auto"/>
        </w:rPr>
        <w:t>e victim reports, comprising 6.</w:t>
      </w:r>
      <w:r w:rsidRPr="00584359" w:rsidR="00584359">
        <w:rPr>
          <w:color w:val="auto"/>
        </w:rPr>
        <w:t>8</w:t>
      </w:r>
      <w:r w:rsidRPr="00584359">
        <w:rPr>
          <w:color w:val="auto"/>
        </w:rPr>
        <w:t xml:space="preserve">% of </w:t>
      </w:r>
      <w:r w:rsidRPr="00584359" w:rsidR="0063702F">
        <w:rPr>
          <w:color w:val="auto"/>
        </w:rPr>
        <w:t xml:space="preserve">all organisation victims </w:t>
      </w:r>
      <w:r w:rsidRPr="00584359" w:rsidR="0055375D">
        <w:rPr>
          <w:color w:val="auto"/>
        </w:rPr>
        <w:t>in the last 12 months.</w:t>
      </w:r>
    </w:p>
    <w:p w:rsidR="00882CDC" w:rsidP="00C84BBC" w:rsidRDefault="00882CDC" w14:paraId="4FE831CB" w14:textId="77777777">
      <w:pPr>
        <w:pStyle w:val="BodyTextSpaceAfter"/>
        <w:rPr>
          <w:color w:val="000000" w:themeColor="text1"/>
        </w:rPr>
      </w:pPr>
    </w:p>
    <w:p w:rsidR="00882CDC" w:rsidRDefault="00882CDC" w14:paraId="19CB0CE5" w14:textId="77777777">
      <w:pPr>
        <w:rPr>
          <w:color w:val="000000" w:themeColor="text1"/>
        </w:rPr>
        <w:sectPr w:rsidR="00882CDC" w:rsidSect="00CA57B7">
          <w:headerReference r:id="rId44" w:type="even"/>
          <w:headerReference r:id="rId45" w:type="default"/>
          <w:footerReference r:id="rId46" w:type="even"/>
          <w:footerReference r:id="rId47" w:type="default"/>
          <w:headerReference r:id="rId48" w:type="first"/>
          <w:type w:val="continuous"/>
          <w:pgSz w:w="11906" w:h="16838"/>
          <w:pgMar w:top="1276" w:right="1134" w:bottom="851" w:left="1134" w:header="510" w:footer="510" w:gutter="0"/>
          <w:cols w:space="720"/>
          <w:noEndnote/>
          <w:docGrid w:linePitch="326"/>
        </w:sectPr>
      </w:pPr>
    </w:p>
    <w:bookmarkEnd w:id="1"/>
    <w:p w:rsidR="0055375D" w:rsidP="00F77C75" w:rsidRDefault="0055375D" w14:paraId="4A9EBEA8" w14:textId="77777777">
      <w:pPr>
        <w:rPr>
          <w:rFonts w:ascii="Roboto Condensed Light" w:hAnsi="Roboto Condensed Light" w:cs="TradeGothic-Light"/>
          <w:color w:val="000000"/>
          <w:sz w:val="22"/>
          <w:szCs w:val="22"/>
          <w:lang w:val="en-GB"/>
        </w:rPr>
      </w:pPr>
    </w:p>
    <w:p w:rsidRPr="0055375D" w:rsidR="0055375D" w:rsidP="0055375D" w:rsidRDefault="0055375D" w14:paraId="47050BF9" w14:textId="77777777">
      <w:pPr>
        <w:rPr>
          <w:rFonts w:ascii="Roboto Condensed Light" w:hAnsi="Roboto Condensed Light" w:cs="TradeGothic-Light"/>
          <w:sz w:val="22"/>
          <w:szCs w:val="22"/>
          <w:lang w:val="en-GB"/>
        </w:rPr>
      </w:pPr>
    </w:p>
    <w:p w:rsidRPr="0055375D" w:rsidR="0055375D" w:rsidP="0055375D" w:rsidRDefault="0055375D" w14:paraId="27A91A3D" w14:textId="77777777">
      <w:pPr>
        <w:rPr>
          <w:rFonts w:ascii="Roboto Condensed Light" w:hAnsi="Roboto Condensed Light" w:cs="TradeGothic-Light"/>
          <w:sz w:val="22"/>
          <w:szCs w:val="22"/>
          <w:lang w:val="en-GB"/>
        </w:rPr>
      </w:pPr>
    </w:p>
    <w:p w:rsidRPr="0055375D" w:rsidR="0055375D" w:rsidP="0055375D" w:rsidRDefault="0055375D" w14:paraId="1D605447" w14:textId="77777777">
      <w:pPr>
        <w:rPr>
          <w:rFonts w:ascii="Roboto Condensed Light" w:hAnsi="Roboto Condensed Light" w:cs="TradeGothic-Light"/>
          <w:sz w:val="22"/>
          <w:szCs w:val="22"/>
          <w:lang w:val="en-GB"/>
        </w:rPr>
      </w:pPr>
    </w:p>
    <w:p w:rsidRPr="0055375D" w:rsidR="0055375D" w:rsidP="0055375D" w:rsidRDefault="0055375D" w14:paraId="138DF187" w14:textId="77777777">
      <w:pPr>
        <w:rPr>
          <w:rFonts w:ascii="Roboto Condensed Light" w:hAnsi="Roboto Condensed Light" w:cs="TradeGothic-Light"/>
          <w:sz w:val="22"/>
          <w:szCs w:val="22"/>
          <w:lang w:val="en-GB"/>
        </w:rPr>
      </w:pPr>
    </w:p>
    <w:p w:rsidRPr="0055375D" w:rsidR="0055375D" w:rsidP="0055375D" w:rsidRDefault="0055375D" w14:paraId="47777154" w14:textId="77777777">
      <w:pPr>
        <w:rPr>
          <w:rFonts w:ascii="Roboto Condensed Light" w:hAnsi="Roboto Condensed Light" w:cs="TradeGothic-Light"/>
          <w:sz w:val="22"/>
          <w:szCs w:val="22"/>
          <w:lang w:val="en-GB"/>
        </w:rPr>
      </w:pPr>
    </w:p>
    <w:p w:rsidRPr="0055375D" w:rsidR="0055375D" w:rsidP="0055375D" w:rsidRDefault="0055375D" w14:paraId="4C438093" w14:textId="77777777">
      <w:pPr>
        <w:rPr>
          <w:rFonts w:ascii="Roboto Condensed Light" w:hAnsi="Roboto Condensed Light" w:cs="TradeGothic-Light"/>
          <w:sz w:val="22"/>
          <w:szCs w:val="22"/>
          <w:lang w:val="en-GB"/>
        </w:rPr>
      </w:pPr>
    </w:p>
    <w:p w:rsidRPr="0055375D" w:rsidR="0055375D" w:rsidP="0055375D" w:rsidRDefault="0055375D" w14:paraId="54A8782B" w14:textId="77777777">
      <w:pPr>
        <w:rPr>
          <w:rFonts w:ascii="Roboto Condensed Light" w:hAnsi="Roboto Condensed Light" w:cs="TradeGothic-Light"/>
          <w:sz w:val="22"/>
          <w:szCs w:val="22"/>
          <w:lang w:val="en-GB"/>
        </w:rPr>
      </w:pPr>
    </w:p>
    <w:p w:rsidRPr="0055375D" w:rsidR="0055375D" w:rsidP="0055375D" w:rsidRDefault="0055375D" w14:paraId="5E16F19F" w14:textId="77777777">
      <w:pPr>
        <w:rPr>
          <w:rFonts w:ascii="Roboto Condensed Light" w:hAnsi="Roboto Condensed Light" w:cs="TradeGothic-Light"/>
          <w:sz w:val="22"/>
          <w:szCs w:val="22"/>
          <w:lang w:val="en-GB"/>
        </w:rPr>
      </w:pPr>
    </w:p>
    <w:p w:rsidRPr="0055375D" w:rsidR="0055375D" w:rsidP="0055375D" w:rsidRDefault="0055375D" w14:paraId="31403F19" w14:textId="77777777">
      <w:pPr>
        <w:rPr>
          <w:rFonts w:ascii="Roboto Condensed Light" w:hAnsi="Roboto Condensed Light" w:cs="TradeGothic-Light"/>
          <w:sz w:val="22"/>
          <w:szCs w:val="22"/>
          <w:lang w:val="en-GB"/>
        </w:rPr>
      </w:pPr>
    </w:p>
    <w:p w:rsidRPr="0055375D" w:rsidR="0055375D" w:rsidP="0055375D" w:rsidRDefault="0055375D" w14:paraId="08C16FDC" w14:textId="77777777">
      <w:pPr>
        <w:rPr>
          <w:rFonts w:ascii="Roboto Condensed Light" w:hAnsi="Roboto Condensed Light" w:cs="TradeGothic-Light"/>
          <w:sz w:val="22"/>
          <w:szCs w:val="22"/>
          <w:lang w:val="en-GB"/>
        </w:rPr>
      </w:pPr>
    </w:p>
    <w:p w:rsidRPr="0055375D" w:rsidR="0055375D" w:rsidP="0055375D" w:rsidRDefault="0055375D" w14:paraId="7FED1339" w14:textId="77777777">
      <w:pPr>
        <w:rPr>
          <w:rFonts w:ascii="Roboto Condensed Light" w:hAnsi="Roboto Condensed Light" w:cs="TradeGothic-Light"/>
          <w:sz w:val="22"/>
          <w:szCs w:val="22"/>
          <w:lang w:val="en-GB"/>
        </w:rPr>
      </w:pPr>
    </w:p>
    <w:p w:rsidRPr="0055375D" w:rsidR="0055375D" w:rsidP="0055375D" w:rsidRDefault="0055375D" w14:paraId="45077CC6" w14:textId="77777777">
      <w:pPr>
        <w:rPr>
          <w:rFonts w:ascii="Roboto Condensed Light" w:hAnsi="Roboto Condensed Light" w:cs="TradeGothic-Light"/>
          <w:sz w:val="22"/>
          <w:szCs w:val="22"/>
          <w:lang w:val="en-GB"/>
        </w:rPr>
      </w:pPr>
    </w:p>
    <w:p w:rsidRPr="0055375D" w:rsidR="0055375D" w:rsidP="0055375D" w:rsidRDefault="0055375D" w14:paraId="4B4A9690" w14:textId="77777777">
      <w:pPr>
        <w:rPr>
          <w:rFonts w:ascii="Roboto Condensed Light" w:hAnsi="Roboto Condensed Light" w:cs="TradeGothic-Light"/>
          <w:sz w:val="22"/>
          <w:szCs w:val="22"/>
          <w:lang w:val="en-GB"/>
        </w:rPr>
      </w:pPr>
    </w:p>
    <w:p w:rsidRPr="0055375D" w:rsidR="0055375D" w:rsidP="0055375D" w:rsidRDefault="0055375D" w14:paraId="077EFBF7" w14:textId="77777777">
      <w:pPr>
        <w:rPr>
          <w:rFonts w:ascii="Roboto Condensed Light" w:hAnsi="Roboto Condensed Light" w:cs="TradeGothic-Light"/>
          <w:sz w:val="22"/>
          <w:szCs w:val="22"/>
          <w:lang w:val="en-GB"/>
        </w:rPr>
      </w:pPr>
    </w:p>
    <w:p w:rsidRPr="0055375D" w:rsidR="0055375D" w:rsidP="0055375D" w:rsidRDefault="0055375D" w14:paraId="2D94EA8E" w14:textId="77777777">
      <w:pPr>
        <w:rPr>
          <w:rFonts w:ascii="Roboto Condensed Light" w:hAnsi="Roboto Condensed Light" w:cs="TradeGothic-Light"/>
          <w:sz w:val="22"/>
          <w:szCs w:val="22"/>
          <w:lang w:val="en-GB"/>
        </w:rPr>
      </w:pPr>
    </w:p>
    <w:p w:rsidRPr="0055375D" w:rsidR="0055375D" w:rsidP="0055375D" w:rsidRDefault="0055375D" w14:paraId="44F7096D" w14:textId="77777777">
      <w:pPr>
        <w:rPr>
          <w:rFonts w:ascii="Roboto Condensed Light" w:hAnsi="Roboto Condensed Light" w:cs="TradeGothic-Light"/>
          <w:sz w:val="22"/>
          <w:szCs w:val="22"/>
          <w:lang w:val="en-GB"/>
        </w:rPr>
      </w:pPr>
    </w:p>
    <w:p w:rsidRPr="0055375D" w:rsidR="0055375D" w:rsidP="0055375D" w:rsidRDefault="0055375D" w14:paraId="54316B25" w14:textId="77777777">
      <w:pPr>
        <w:rPr>
          <w:rFonts w:ascii="Roboto Condensed Light" w:hAnsi="Roboto Condensed Light" w:cs="TradeGothic-Light"/>
          <w:sz w:val="22"/>
          <w:szCs w:val="22"/>
          <w:lang w:val="en-GB"/>
        </w:rPr>
      </w:pPr>
    </w:p>
    <w:p w:rsidRPr="0055375D" w:rsidR="0055375D" w:rsidP="0055375D" w:rsidRDefault="0055375D" w14:paraId="06E84E66" w14:textId="77777777">
      <w:pPr>
        <w:rPr>
          <w:rFonts w:ascii="Roboto Condensed Light" w:hAnsi="Roboto Condensed Light" w:cs="TradeGothic-Light"/>
          <w:sz w:val="22"/>
          <w:szCs w:val="22"/>
          <w:lang w:val="en-GB"/>
        </w:rPr>
      </w:pPr>
    </w:p>
    <w:p w:rsidRPr="0055375D" w:rsidR="0055375D" w:rsidP="0055375D" w:rsidRDefault="0055375D" w14:paraId="19145E5F" w14:textId="77777777">
      <w:pPr>
        <w:rPr>
          <w:rFonts w:ascii="Roboto Condensed Light" w:hAnsi="Roboto Condensed Light" w:cs="TradeGothic-Light"/>
          <w:sz w:val="22"/>
          <w:szCs w:val="22"/>
          <w:lang w:val="en-GB"/>
        </w:rPr>
      </w:pPr>
    </w:p>
    <w:p w:rsidRPr="0055375D" w:rsidR="0055375D" w:rsidP="0055375D" w:rsidRDefault="0055375D" w14:paraId="3D7528A5" w14:textId="77777777">
      <w:pPr>
        <w:rPr>
          <w:rFonts w:ascii="Roboto Condensed Light" w:hAnsi="Roboto Condensed Light" w:cs="TradeGothic-Light"/>
          <w:sz w:val="22"/>
          <w:szCs w:val="22"/>
          <w:lang w:val="en-GB"/>
        </w:rPr>
      </w:pPr>
    </w:p>
    <w:p w:rsidRPr="0055375D" w:rsidR="0055375D" w:rsidP="0055375D" w:rsidRDefault="0055375D" w14:paraId="52A51C61" w14:textId="77777777">
      <w:pPr>
        <w:rPr>
          <w:rFonts w:ascii="Roboto Condensed Light" w:hAnsi="Roboto Condensed Light" w:cs="TradeGothic-Light"/>
          <w:sz w:val="22"/>
          <w:szCs w:val="22"/>
          <w:lang w:val="en-GB"/>
        </w:rPr>
      </w:pPr>
    </w:p>
    <w:p w:rsidRPr="0055375D" w:rsidR="0055375D" w:rsidP="0055375D" w:rsidRDefault="0055375D" w14:paraId="233E984C" w14:textId="77777777">
      <w:pPr>
        <w:rPr>
          <w:rFonts w:ascii="Roboto Condensed Light" w:hAnsi="Roboto Condensed Light" w:cs="TradeGothic-Light"/>
          <w:sz w:val="22"/>
          <w:szCs w:val="22"/>
          <w:lang w:val="en-GB"/>
        </w:rPr>
      </w:pPr>
    </w:p>
    <w:p w:rsidRPr="0055375D" w:rsidR="0055375D" w:rsidP="0055375D" w:rsidRDefault="0055375D" w14:paraId="33655408" w14:textId="77777777">
      <w:pPr>
        <w:rPr>
          <w:rFonts w:ascii="Roboto Condensed Light" w:hAnsi="Roboto Condensed Light" w:cs="TradeGothic-Light"/>
          <w:sz w:val="22"/>
          <w:szCs w:val="22"/>
          <w:lang w:val="en-GB"/>
        </w:rPr>
      </w:pPr>
    </w:p>
    <w:p w:rsidRPr="0055375D" w:rsidR="0055375D" w:rsidP="0055375D" w:rsidRDefault="0055375D" w14:paraId="51558821" w14:textId="77777777">
      <w:pPr>
        <w:rPr>
          <w:rFonts w:ascii="Roboto Condensed Light" w:hAnsi="Roboto Condensed Light" w:cs="TradeGothic-Light"/>
          <w:sz w:val="22"/>
          <w:szCs w:val="22"/>
          <w:lang w:val="en-GB"/>
        </w:rPr>
      </w:pPr>
    </w:p>
    <w:p w:rsidRPr="0055375D" w:rsidR="0055375D" w:rsidP="0055375D" w:rsidRDefault="0055375D" w14:paraId="59542FEE" w14:textId="77777777">
      <w:pPr>
        <w:rPr>
          <w:rFonts w:ascii="Roboto Condensed Light" w:hAnsi="Roboto Condensed Light" w:cs="TradeGothic-Light"/>
          <w:sz w:val="22"/>
          <w:szCs w:val="22"/>
          <w:lang w:val="en-GB"/>
        </w:rPr>
      </w:pPr>
    </w:p>
    <w:p w:rsidRPr="0055375D" w:rsidR="0055375D" w:rsidP="0055375D" w:rsidRDefault="0055375D" w14:paraId="0DBFA46A" w14:textId="77777777">
      <w:pPr>
        <w:rPr>
          <w:rFonts w:ascii="Roboto Condensed Light" w:hAnsi="Roboto Condensed Light" w:cs="TradeGothic-Light"/>
          <w:sz w:val="22"/>
          <w:szCs w:val="22"/>
          <w:lang w:val="en-GB"/>
        </w:rPr>
      </w:pPr>
    </w:p>
    <w:p w:rsidRPr="0055375D" w:rsidR="0055375D" w:rsidP="0055375D" w:rsidRDefault="0055375D" w14:paraId="0C134004" w14:textId="77777777">
      <w:pPr>
        <w:rPr>
          <w:rFonts w:ascii="Roboto Condensed Light" w:hAnsi="Roboto Condensed Light" w:cs="TradeGothic-Light"/>
          <w:sz w:val="22"/>
          <w:szCs w:val="22"/>
          <w:lang w:val="en-GB"/>
        </w:rPr>
      </w:pPr>
    </w:p>
    <w:p w:rsidRPr="0055375D" w:rsidR="0055375D" w:rsidP="0055375D" w:rsidRDefault="0055375D" w14:paraId="598B9432" w14:textId="77777777">
      <w:pPr>
        <w:rPr>
          <w:rFonts w:ascii="Roboto Condensed Light" w:hAnsi="Roboto Condensed Light" w:cs="TradeGothic-Light"/>
          <w:sz w:val="22"/>
          <w:szCs w:val="22"/>
          <w:lang w:val="en-GB"/>
        </w:rPr>
      </w:pPr>
    </w:p>
    <w:p w:rsidRPr="0055375D" w:rsidR="0055375D" w:rsidP="0055375D" w:rsidRDefault="0055375D" w14:paraId="5AC12B96" w14:textId="77777777">
      <w:pPr>
        <w:rPr>
          <w:rFonts w:ascii="Roboto Condensed Light" w:hAnsi="Roboto Condensed Light" w:cs="TradeGothic-Light"/>
          <w:sz w:val="22"/>
          <w:szCs w:val="22"/>
          <w:lang w:val="en-GB"/>
        </w:rPr>
      </w:pPr>
    </w:p>
    <w:p w:rsidRPr="0055375D" w:rsidR="0055375D" w:rsidP="0055375D" w:rsidRDefault="0055375D" w14:paraId="3FB20923" w14:textId="77777777">
      <w:pPr>
        <w:rPr>
          <w:rFonts w:ascii="Roboto Condensed Light" w:hAnsi="Roboto Condensed Light" w:cs="TradeGothic-Light"/>
          <w:sz w:val="22"/>
          <w:szCs w:val="22"/>
          <w:lang w:val="en-GB"/>
        </w:rPr>
      </w:pPr>
    </w:p>
    <w:p w:rsidRPr="0055375D" w:rsidR="0055375D" w:rsidP="0055375D" w:rsidRDefault="0055375D" w14:paraId="2C154FEB" w14:textId="77777777">
      <w:pPr>
        <w:rPr>
          <w:rFonts w:ascii="Roboto Condensed Light" w:hAnsi="Roboto Condensed Light" w:cs="TradeGothic-Light"/>
          <w:sz w:val="22"/>
          <w:szCs w:val="22"/>
          <w:lang w:val="en-GB"/>
        </w:rPr>
      </w:pPr>
    </w:p>
    <w:p w:rsidR="0055375D" w:rsidP="0055375D" w:rsidRDefault="0055375D" w14:paraId="48A7B9CB" w14:textId="77777777">
      <w:pPr>
        <w:rPr>
          <w:rFonts w:ascii="Roboto Condensed Light" w:hAnsi="Roboto Condensed Light" w:cs="TradeGothic-Light"/>
          <w:sz w:val="22"/>
          <w:szCs w:val="22"/>
          <w:lang w:val="en-GB"/>
        </w:rPr>
      </w:pPr>
    </w:p>
    <w:p w:rsidR="001F0C1D" w:rsidRDefault="001F0C1D" w14:paraId="658F8F43" w14:textId="77777777">
      <w:pPr>
        <w:rPr>
          <w:rFonts w:ascii="Roboto Condensed Light" w:hAnsi="Roboto Condensed Light" w:cs="TradeGothic-Light"/>
          <w:sz w:val="22"/>
          <w:szCs w:val="22"/>
          <w:lang w:val="en-GB"/>
        </w:rPr>
      </w:pPr>
      <w:r>
        <w:rPr>
          <w:rFonts w:ascii="Roboto Condensed Light" w:hAnsi="Roboto Condensed Light" w:cs="TradeGothic-Light"/>
          <w:sz w:val="22"/>
          <w:szCs w:val="22"/>
          <w:lang w:val="en-GB"/>
        </w:rPr>
        <w:br w:type="page"/>
      </w:r>
    </w:p>
    <w:p w:rsidR="0055375D" w:rsidP="0055375D" w:rsidRDefault="0055375D" w14:paraId="4F77FA78" w14:textId="77777777">
      <w:pPr>
        <w:rPr>
          <w:rFonts w:ascii="Roboto Condensed Light" w:hAnsi="Roboto Condensed Light" w:cs="TradeGothic-Light"/>
          <w:sz w:val="22"/>
          <w:szCs w:val="22"/>
          <w:lang w:val="en-GB"/>
        </w:rPr>
      </w:pPr>
    </w:p>
    <w:p w:rsidRPr="0055375D" w:rsidR="00971398" w:rsidP="0055375D" w:rsidRDefault="00971398" w14:paraId="48D0B478" w14:textId="77777777">
      <w:pPr>
        <w:jc w:val="center"/>
        <w:rPr>
          <w:rFonts w:ascii="Roboto Condensed Light" w:hAnsi="Roboto Condensed Light" w:cs="TradeGothic-Light"/>
          <w:sz w:val="22"/>
          <w:szCs w:val="22"/>
          <w:lang w:val="en-GB"/>
        </w:rPr>
      </w:pPr>
    </w:p>
    <w:sectPr w:rsidRPr="0055375D" w:rsidR="00971398" w:rsidSect="00CA57B7">
      <w:headerReference r:id="rId49" w:type="even"/>
      <w:headerReference r:id="rId50" w:type="default"/>
      <w:footerReference r:id="rId51" w:type="even"/>
      <w:footerReference r:id="rId52" w:type="default"/>
      <w:headerReference r:id="rId53" w:type="first"/>
      <w:pgSz w:w="11906" w:h="16838"/>
      <w:pgMar w:top="1276" w:right="1134" w:bottom="851" w:left="1134" w:header="510" w:footer="510" w:gutter="0"/>
      <w:cols w:space="720"/>
      <w:noEndnote/>
    </w:sectPr>
  </w:body>
</w:document>
</file>

<file path=word/endnotes.xml><?xml version="1.0" encoding="utf-8"?>
<w:end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endnote w:type="separator" w:id="-1">
    <w:p w:rsidR="00126398" w:rsidP="00B52D7E" w:rsidRDefault="00126398" w14:paraId="7A7E16F7" w14:textId="77777777">
      <w:r>
        <w:separator/>
      </w:r>
    </w:p>
  </w:endnote>
  <w:endnote w:type="continuationSeparator" w:id="0">
    <w:p w:rsidR="00126398" w:rsidP="00B52D7E" w:rsidRDefault="00126398" w14:paraId="17A60D28" w14:textId="77777777">
      <w:r>
        <w:continuationSeparator/>
      </w:r>
    </w:p>
  </w:endnote>
</w:endnotes>
</file>

<file path=word/fontTable.xml><?xml version="1.0" encoding="utf-8"?>
<w:font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Condensed Light">
    <w:altName w:val="Arial"/>
    <w:panose1 w:val="02000000000000000000"/>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adeGothic-Light">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Arial"/>
    <w:charset w:val="00"/>
    <w:family w:val="swiss"/>
    <w:pitch w:val="variable"/>
    <w:sig w:usb0="00000001" w:usb1="4000205B" w:usb2="00000028" w:usb3="00000000" w:csb0="0000019F" w:csb1="00000000"/>
  </w:font>
  <w:font w:name="Typestar-Normal">
    <w:altName w:val="Times New Roman"/>
    <w:panose1 w:val="00000000000000000000"/>
    <w:charset w:val="00"/>
    <w:family w:val="auto"/>
    <w:pitch w:val="variable"/>
    <w:sig w:usb0="00000001" w:usb1="40000048" w:usb2="00000000" w:usb3="00000000" w:csb0="00000111" w:csb1="00000000"/>
  </w:font>
  <w:font w:name="Roboto Condensed">
    <w:altName w:val="Arial"/>
    <w:panose1 w:val="02000000000000000000"/>
    <w:charset w:val="00"/>
    <w:family w:val="auto"/>
    <w:pitch w:val="variable"/>
    <w:sig w:usb0="E00002FF" w:usb1="5000205B" w:usb2="00000020" w:usb3="00000000" w:csb0="0000019F" w:csb1="00000000"/>
  </w:font>
  <w:font w:name="Roboto Light">
    <w:altName w:val="Arial"/>
    <w:panose1 w:val="02000000000000000000"/>
    <w:charset w:val="00"/>
    <w:family w:val="auto"/>
    <w:pitch w:val="variable"/>
    <w:sig w:usb0="E00002FF" w:usb1="5000205B" w:usb2="00000020" w:usb3="00000000" w:csb0="0000019F" w:csb1="00000000"/>
  </w:font>
  <w:font w:name="TradeGothic-Bold">
    <w:altName w:val="Calibri"/>
    <w:panose1 w:val="00000000000000000000"/>
    <w:charset w:val="4D"/>
    <w:family w:val="auto"/>
    <w:notTrueType/>
    <w:pitch w:val="default"/>
    <w:sig w:usb0="00000003" w:usb1="00000000" w:usb2="00000000" w:usb3="00000000" w:csb0="00000001" w:csb1="00000000"/>
  </w:font>
  <w:font w:name="TradeGothic">
    <w:altName w:val="Calibri"/>
    <w:panose1 w:val="020B0500000000000000"/>
    <w:charset w:val="00"/>
    <w:family w:val="swiss"/>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ypestarBlack">
    <w:altName w:val="Typestar-OCR"/>
    <w:panose1 w:val="00000000000000000000"/>
    <w:charset w:val="4D"/>
    <w:family w:val="auto"/>
    <w:notTrueType/>
    <w:pitch w:val="default"/>
    <w:sig w:usb0="00000003" w:usb1="00000000" w:usb2="00000000" w:usb3="00000000" w:csb0="00000001" w:csb1="00000000"/>
  </w:font>
  <w:font w:name="TradeGothic Bold">
    <w:altName w:val="Britannic Bold"/>
    <w:panose1 w:val="02000803000000000000"/>
    <w:charset w:val="00"/>
    <w:family w:val="auto"/>
    <w:pitch w:val="variable"/>
    <w:sig w:usb0="00000003" w:usb1="00000000" w:usb2="00000000" w:usb3="00000000" w:csb0="00000001" w:csb1="00000000"/>
  </w:font>
  <w:font w:name="TradeGothic-BoldOblique">
    <w:altName w:val="TradeGothic Light"/>
    <w:panose1 w:val="00000000000000000000"/>
    <w:charset w:val="4D"/>
    <w:family w:val="auto"/>
    <w:notTrueType/>
    <w:pitch w:val="default"/>
    <w:sig w:usb0="00000003" w:usb1="00000000" w:usb2="00000000" w:usb3="00000000" w:csb0="00000001" w:csb1="00000000"/>
  </w:font>
  <w:font w:name="Typestar Black">
    <w:altName w:val="Calibri"/>
    <w:panose1 w:val="00000000000000000000"/>
    <w:charset w:val="00"/>
    <w:family w:val="modern"/>
    <w:notTrueType/>
    <w:pitch w:val="variable"/>
    <w:sig w:usb0="8000002F" w:usb1="40000048" w:usb2="00000000" w:usb3="00000000" w:csb0="0000011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p w:rsidR="00B61E69" w:rsidRDefault="00B61E69" w14:paraId="66DCED29" w14:textId="77777777">
    <w:pPr>
      <w:pStyle w:val="Footer"/>
    </w:pPr>
  </w:p>
</w:ftr>
</file>

<file path=word/footer10.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p w:rsidRPr="00500B88" w:rsidR="00F334A0" w:rsidP="00882CDC" w:rsidRDefault="00F334A0" w14:paraId="3D3AD84C" w14:textId="222B8D5F">
    <w:pPr>
      <w:pStyle w:val="Footer"/>
      <w:tabs>
        <w:tab w:val="left" w:pos="2679"/>
      </w:tabs>
      <w:jc w:val="left"/>
    </w:pPr>
    <w:r w:rsidRPr="005C25D8">
      <w:fldChar w:fldCharType="begin"/>
    </w:r>
    <w:r w:rsidRPr="005C25D8">
      <w:instrText xml:space="preserve"> PAGE   \* MERGEFORMAT </w:instrText>
    </w:r>
    <w:r w:rsidRPr="005C25D8">
      <w:fldChar w:fldCharType="separate"/>
    </w:r>
    <w:r w:rsidR="00EE3620">
      <w:rPr>
        <w:noProof/>
      </w:rPr>
      <w:t>14</w:t>
    </w:r>
    <w:r w:rsidRPr="005C25D8">
      <w:fldChar w:fldCharType="end"/>
    </w:r>
    <w:r>
      <w:t xml:space="preserve">  Unique victims</w:t>
    </w:r>
    <w:r w:rsidR="006629D6">
      <w:t xml:space="preserve"> – year ending June 2019</w:t>
    </w:r>
    <w:r>
      <w:tab/>
    </w:r>
  </w:p>
</w:ftr>
</file>

<file path=word/footer11.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p w:rsidRPr="00BE199A" w:rsidR="00F334A0" w:rsidP="00C408FE" w:rsidRDefault="00EE3620" w14:paraId="38B42DCE" w14:textId="0756CD2E">
    <w:pPr>
      <w:pStyle w:val="Footer"/>
    </w:pPr>
    <w:sdt>
      <w:sdtPr>
        <w:alias w:val="Title"/>
        <w:tag w:val=""/>
        <w:id w:val="1621109074"/>
        <w:dataBinding w:prefixMappings="xmlns:ns0='http://purl.org/dc/elements/1.1/' xmlns:ns1='http://schemas.openxmlformats.org/package/2006/metadata/core-properties' " w:xpath="/ns1:coreProperties[1]/ns0:title[1]" w:storeItemID="{6C3C8BC8-F283-45AE-878A-BAB7291924A1}"/>
        <w:text/>
      </w:sdtPr>
      <w:sdtEndPr/>
      <w:sdtContent>
        <w:r w:rsidR="00AD45F5">
          <w:t>Unique victims and alleged offenders in Victoria</w:t>
        </w:r>
      </w:sdtContent>
    </w:sdt>
    <w:r w:rsidR="00F334A0">
      <w:t xml:space="preserve">  </w:t>
    </w:r>
    <w:r w:rsidRPr="00BE199A" w:rsidR="00F334A0">
      <w:fldChar w:fldCharType="begin"/>
    </w:r>
    <w:r w:rsidRPr="00BE199A" w:rsidR="00F334A0">
      <w:instrText xml:space="preserve"> PAGE   \* MERGEFORMAT </w:instrText>
    </w:r>
    <w:r w:rsidRPr="00BE199A" w:rsidR="00F334A0">
      <w:fldChar w:fldCharType="separate"/>
    </w:r>
    <w:r>
      <w:rPr>
        <w:noProof/>
      </w:rPr>
      <w:t>13</w:t>
    </w:r>
    <w:r w:rsidRPr="00BE199A" w:rsidR="00F334A0">
      <w:fldChar w:fldCharType="end"/>
    </w:r>
  </w:p>
</w:ftr>
</file>

<file path=word/footer12.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p w:rsidRPr="00A47D10" w:rsidR="00F334A0" w:rsidP="00A47D10" w:rsidRDefault="00F334A0" w14:paraId="6D403DA8" w14:textId="77777777">
    <w:pPr>
      <w:pStyle w:val="FooterChapterHeading"/>
      <w:ind w:right="360"/>
      <w:rPr>
        <w:color w:val="4C4C4C"/>
      </w:rPr>
    </w:pPr>
  </w:p>
</w:ftr>
</file>

<file path=word/footer13.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p w:rsidRPr="006629D6" w:rsidR="006629D6" w:rsidP="006629D6" w:rsidRDefault="006629D6" w14:paraId="079A0054" w14:textId="3A0B4054">
    <w:pPr>
      <w:pStyle w:val="Footer"/>
    </w:pPr>
  </w:p>
</w:ftr>
</file>

<file path=word/footer2.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p w:rsidRPr="00BE199A" w:rsidR="00F334A0" w:rsidP="00BE199A" w:rsidRDefault="00EE3620" w14:paraId="1AF8E8CD" w14:textId="6C71A5C9">
    <w:pPr>
      <w:pStyle w:val="Footer"/>
    </w:pPr>
    <w:sdt>
      <w:sdtPr>
        <w:alias w:val="Title"/>
        <w:tag w:val=""/>
        <w:id w:val="-1115519917"/>
        <w:dataBinding w:prefixMappings="xmlns:ns0='http://purl.org/dc/elements/1.1/' xmlns:ns1='http://schemas.openxmlformats.org/package/2006/metadata/core-properties' " w:xpath="/ns1:coreProperties[1]/ns0:title[1]" w:storeItemID="{6C3C8BC8-F283-45AE-878A-BAB7291924A1}"/>
        <w:text/>
      </w:sdtPr>
      <w:sdtEndPr/>
      <w:sdtContent>
        <w:r w:rsidR="00AD45F5">
          <w:t>Unique victims and alleged offenders in Victoria</w:t>
        </w:r>
      </w:sdtContent>
    </w:sdt>
    <w:r w:rsidRPr="00BE199A" w:rsidR="00F334A0">
      <w:t xml:space="preserve">  </w:t>
    </w:r>
    <w:r w:rsidRPr="00BE199A" w:rsidR="00F334A0">
      <w:fldChar w:fldCharType="begin"/>
    </w:r>
    <w:r w:rsidRPr="00BE199A" w:rsidR="00F334A0">
      <w:instrText xml:space="preserve"> PAGE   \* MERGEFORMAT </w:instrText>
    </w:r>
    <w:r w:rsidRPr="00BE199A" w:rsidR="00F334A0">
      <w:fldChar w:fldCharType="separate"/>
    </w:r>
    <w:r w:rsidR="00F334A0">
      <w:rPr>
        <w:noProof/>
      </w:rPr>
      <w:t>5</w:t>
    </w:r>
    <w:r w:rsidRPr="00BE199A" w:rsidR="00F334A0">
      <w:fldChar w:fldCharType="end"/>
    </w:r>
  </w:p>
</w:ftr>
</file>

<file path=word/footer3.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p w:rsidR="00B61E69" w:rsidRDefault="00B61E69" w14:paraId="75B387A3" w14:textId="77777777">
    <w:pPr>
      <w:pStyle w:val="Footer"/>
    </w:pPr>
  </w:p>
</w:ftr>
</file>

<file path=word/footer4.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p w:rsidRPr="00FF6598" w:rsidR="00F334A0" w:rsidP="00FF6598" w:rsidRDefault="00F334A0" w14:paraId="7081188B" w14:textId="77777777">
    <w:pPr>
      <w:pStyle w:val="Footer"/>
    </w:pPr>
  </w:p>
</w:ftr>
</file>

<file path=word/footer5.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p w:rsidRPr="00BE199A" w:rsidR="00F334A0" w:rsidP="006629D6" w:rsidRDefault="006629D6" w14:paraId="08119FF3" w14:textId="11AFF8F5">
    <w:pPr>
      <w:pStyle w:val="Footer"/>
    </w:pPr>
    <w:r>
      <w:t xml:space="preserve">  </w:t>
    </w:r>
  </w:p>
</w:ftr>
</file>

<file path=word/footer6.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p w:rsidRPr="00500B88" w:rsidR="002C2810" w:rsidP="00882CDC" w:rsidRDefault="002C2810" w14:paraId="5C8B0C2B" w14:textId="77777777">
    <w:pPr>
      <w:pStyle w:val="Footer"/>
      <w:tabs>
        <w:tab w:val="left" w:pos="2679"/>
      </w:tabs>
      <w:jc w:val="left"/>
    </w:pPr>
    <w:r w:rsidRPr="005C25D8">
      <w:fldChar w:fldCharType="begin"/>
    </w:r>
    <w:r w:rsidRPr="005C25D8">
      <w:instrText xml:space="preserve"> PAGE   \* MERGEFORMAT </w:instrText>
    </w:r>
    <w:r w:rsidRPr="005C25D8">
      <w:fldChar w:fldCharType="separate"/>
    </w:r>
    <w:r>
      <w:rPr>
        <w:noProof/>
      </w:rPr>
      <w:t>4</w:t>
    </w:r>
    <w:r w:rsidRPr="005C25D8">
      <w:fldChar w:fldCharType="end"/>
    </w:r>
    <w:r>
      <w:t xml:space="preserve">  Recorded criminal incidents – year ending June 2019</w:t>
    </w:r>
    <w:r>
      <w:tab/>
    </w:r>
  </w:p>
</w:ftr>
</file>

<file path=word/footer7.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p w:rsidRPr="00BE199A" w:rsidR="002C2810" w:rsidP="00C408FE" w:rsidRDefault="00EE3620" w14:paraId="1659085E" w14:textId="74FD8003">
    <w:pPr>
      <w:pStyle w:val="Footer"/>
    </w:pPr>
    <w:sdt>
      <w:sdtPr>
        <w:alias w:val="Title"/>
        <w:tag w:val=""/>
        <w:id w:val="-665861024"/>
        <w:dataBinding w:prefixMappings="xmlns:ns0='http://purl.org/dc/elements/1.1/' xmlns:ns1='http://schemas.openxmlformats.org/package/2006/metadata/core-properties' " w:xpath="/ns1:coreProperties[1]/ns0:title[1]" w:storeItemID="{6C3C8BC8-F283-45AE-878A-BAB7291924A1}"/>
        <w:text/>
      </w:sdtPr>
      <w:sdtEndPr/>
      <w:sdtContent>
        <w:r w:rsidR="00AD45F5">
          <w:t>Unique victims and alleged offenders in Victoria</w:t>
        </w:r>
      </w:sdtContent>
    </w:sdt>
    <w:r w:rsidR="002C2810">
      <w:t xml:space="preserve">  </w:t>
    </w:r>
    <w:r w:rsidRPr="00BE199A" w:rsidR="002C2810">
      <w:fldChar w:fldCharType="begin"/>
    </w:r>
    <w:r w:rsidRPr="00BE199A" w:rsidR="002C2810">
      <w:instrText xml:space="preserve"> PAGE   \* MERGEFORMAT </w:instrText>
    </w:r>
    <w:r w:rsidRPr="00BE199A" w:rsidR="002C2810">
      <w:fldChar w:fldCharType="separate"/>
    </w:r>
    <w:r>
      <w:rPr>
        <w:noProof/>
      </w:rPr>
      <w:t>3</w:t>
    </w:r>
    <w:r w:rsidRPr="00BE199A" w:rsidR="002C2810">
      <w:fldChar w:fldCharType="end"/>
    </w:r>
  </w:p>
</w:ftr>
</file>

<file path=word/footer8.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p w:rsidRPr="00500B88" w:rsidR="007D2B56" w:rsidP="00882CDC" w:rsidRDefault="007D2B56" w14:paraId="6B9E2201" w14:textId="58252850">
    <w:pPr>
      <w:pStyle w:val="Footer"/>
      <w:tabs>
        <w:tab w:val="left" w:pos="2679"/>
      </w:tabs>
      <w:jc w:val="left"/>
    </w:pPr>
    <w:r w:rsidRPr="005C25D8">
      <w:fldChar w:fldCharType="begin"/>
    </w:r>
    <w:r w:rsidRPr="005C25D8">
      <w:instrText xml:space="preserve"> PAGE   \* MERGEFORMAT </w:instrText>
    </w:r>
    <w:r w:rsidRPr="005C25D8">
      <w:fldChar w:fldCharType="separate"/>
    </w:r>
    <w:r w:rsidR="00EE3620">
      <w:rPr>
        <w:noProof/>
      </w:rPr>
      <w:t>8</w:t>
    </w:r>
    <w:r w:rsidRPr="005C25D8">
      <w:fldChar w:fldCharType="end"/>
    </w:r>
    <w:r w:rsidR="006629D6">
      <w:t xml:space="preserve">  Unique alleged offenders – year ending June 2019</w:t>
    </w:r>
  </w:p>
</w:ftr>
</file>

<file path=word/footer9.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p w:rsidRPr="00BE199A" w:rsidR="006629D6" w:rsidP="006629D6" w:rsidRDefault="00EE3620" w14:paraId="01F3F7BE" w14:textId="249E577C">
    <w:pPr>
      <w:pStyle w:val="Footer"/>
    </w:pPr>
    <w:sdt>
      <w:sdtPr>
        <w:alias w:val="Title"/>
        <w:tag w:val=""/>
        <w:id w:val="1158650059"/>
        <w:dataBinding w:prefixMappings="xmlns:ns0='http://purl.org/dc/elements/1.1/' xmlns:ns1='http://schemas.openxmlformats.org/package/2006/metadata/core-properties' " w:xpath="/ns1:coreProperties[1]/ns0:title[1]" w:storeItemID="{6C3C8BC8-F283-45AE-878A-BAB7291924A1}"/>
        <w:text/>
      </w:sdtPr>
      <w:sdtEndPr/>
      <w:sdtContent>
        <w:r w:rsidR="00AD45F5">
          <w:t>Unique victims and alleged offenders in Victoria</w:t>
        </w:r>
      </w:sdtContent>
    </w:sdt>
    <w:r w:rsidR="006629D6">
      <w:t xml:space="preserve">  </w:t>
    </w:r>
    <w:r w:rsidRPr="00BE199A" w:rsidR="006629D6">
      <w:fldChar w:fldCharType="begin"/>
    </w:r>
    <w:r w:rsidRPr="00BE199A" w:rsidR="006629D6">
      <w:instrText xml:space="preserve"> PAGE   \* MERGEFORMAT </w:instrText>
    </w:r>
    <w:r w:rsidRPr="00BE199A" w:rsidR="006629D6">
      <w:fldChar w:fldCharType="separate"/>
    </w:r>
    <w:r>
      <w:rPr>
        <w:noProof/>
      </w:rPr>
      <w:t>9</w:t>
    </w:r>
    <w:r w:rsidRPr="00BE199A" w:rsidR="006629D6">
      <w:fldChar w:fldCharType="end"/>
    </w:r>
  </w:p>
</w:ftr>
</file>

<file path=word/footnotes.xml><?xml version="1.0" encoding="utf-8"?>
<w:foot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footnote w:type="separator" w:id="-1">
    <w:p w:rsidR="00126398" w:rsidP="00B52D7E" w:rsidRDefault="00126398" w14:paraId="7DCC1784" w14:textId="77777777">
      <w:r>
        <w:separator/>
      </w:r>
    </w:p>
  </w:footnote>
  <w:footnote w:type="continuationSeparator" w:id="0">
    <w:p w:rsidR="00126398" w:rsidP="00B52D7E" w:rsidRDefault="00126398" w14:paraId="6B6F2F1C" w14:textId="77777777">
      <w:r>
        <w:continuationSeparator/>
      </w:r>
    </w:p>
  </w:footnote>
</w:footnotes>
</file>

<file path=word/header1.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p w:rsidR="00B61E69" w:rsidRDefault="00B61E69" w14:paraId="2800CB6D" w14:textId="491415FF">
    <w:pPr>
      <w:pStyle w:val="Header"/>
    </w:pPr>
  </w:p>
</w:hdr>
</file>

<file path=word/header10.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p w:rsidR="00B61E69" w:rsidRDefault="00B61E69" w14:paraId="186F56D0" w14:textId="420F769B">
    <w:pPr>
      <w:pStyle w:val="Header"/>
    </w:pPr>
  </w:p>
</w:hdr>
</file>

<file path=word/header11.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p w:rsidR="00B61E69" w:rsidRDefault="00B61E69" w14:paraId="5EB2CEC9" w14:textId="6645FF7C">
    <w:pPr>
      <w:pStyle w:val="Header"/>
    </w:pPr>
  </w:p>
</w:hdr>
</file>

<file path=word/header12.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p w:rsidR="00B61E69" w:rsidRDefault="00B61E69" w14:paraId="6E425E64" w14:textId="77A9A442">
    <w:pPr>
      <w:pStyle w:val="Header"/>
    </w:pPr>
  </w:p>
</w:hdr>
</file>

<file path=word/header13.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p w:rsidR="00B61E69" w:rsidRDefault="00B61E69" w14:paraId="713997B8" w14:textId="5BD55B3F">
    <w:pPr>
      <w:pStyle w:val="Header"/>
    </w:pPr>
  </w:p>
</w:hdr>
</file>

<file path=word/header14.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p w:rsidR="00B61E69" w:rsidRDefault="00B61E69" w14:paraId="274B26E5" w14:textId="231A6A70">
    <w:pPr>
      <w:pStyle w:val="Header"/>
    </w:pPr>
  </w:p>
</w:hdr>
</file>

<file path=word/header15.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p w:rsidR="00B61E69" w:rsidRDefault="00B61E69" w14:paraId="2D3B3872" w14:textId="26671675">
    <w:pPr>
      <w:pStyle w:val="Header"/>
    </w:pPr>
  </w:p>
</w:hdr>
</file>

<file path=word/header16.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p w:rsidR="00F334A0" w:rsidRDefault="00F334A0" w14:paraId="235892E0" w14:textId="7CDF8F87">
    <w:pPr>
      <w:pStyle w:val="Header"/>
    </w:pPr>
    <w:r>
      <w:rPr>
        <w:noProof/>
        <w:lang w:eastAsia="en-AU"/>
      </w:rPr>
      <w:drawing>
        <wp:anchor distT="0" distB="0" distL="114300" distR="114300" simplePos="false" relativeHeight="251657728" behindDoc="true" locked="false" layoutInCell="true" allowOverlap="true" wp14:anchorId="00744513" wp14:editId="078A8A0D">
          <wp:simplePos x="0" y="0"/>
          <wp:positionH relativeFrom="column">
            <wp:posOffset>-728345</wp:posOffset>
          </wp:positionH>
          <wp:positionV relativeFrom="paragraph">
            <wp:posOffset>-306070</wp:posOffset>
          </wp:positionV>
          <wp:extent cx="7561362" cy="10692000"/>
          <wp:effectExtent l="0" t="0" r="8255" b="1905"/>
          <wp:wrapNone/>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6" name="Picture 6"/>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1" name="Blue backcover.jpg"/>
                  <pic:cNvPicPr/>
                </pic:nvPicPr>
                <pic:blipFill>
                  <a:blip r:embed="rId1">
                    <a:extLst>
                      <a:ext uri="{28A0092B-C50C-407E-A947-70E740481C1C}">
                        <a14:useLocalDpi val="false"/>
                      </a:ext>
                    </a:extLst>
                  </a:blip>
                  <a:stretch>
                    <a:fillRect/>
                  </a:stretch>
                </pic:blipFill>
                <pic:spPr>
                  <a:xfrm>
                    <a:off x="0" y="0"/>
                    <a:ext cx="7561362"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17.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p w:rsidR="00B61E69" w:rsidRDefault="00B61E69" w14:paraId="2AB7318E" w14:textId="27922974">
    <w:pPr>
      <w:pStyle w:val="Header"/>
    </w:pPr>
  </w:p>
</w:hdr>
</file>

<file path=word/header18.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p w:rsidR="00B61E69" w:rsidRDefault="00B61E69" w14:paraId="545171FD" w14:textId="47720967">
    <w:pPr>
      <w:pStyle w:val="Header"/>
    </w:pPr>
  </w:p>
</w:hdr>
</file>

<file path=word/header2.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p w:rsidR="00B61E69" w:rsidRDefault="00B61E69" w14:paraId="3C21F385" w14:textId="229CB680">
    <w:pPr>
      <w:pStyle w:val="Header"/>
    </w:pPr>
  </w:p>
</w:hdr>
</file>

<file path=word/header3.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p w:rsidR="00F334A0" w:rsidRDefault="00F334A0" w14:paraId="7832990B" w14:textId="4FD8BE94">
    <w:pPr>
      <w:pStyle w:val="Header"/>
    </w:pPr>
    <w:r>
      <w:rPr>
        <w:noProof/>
        <w:lang w:eastAsia="en-AU"/>
      </w:rPr>
      <w:drawing>
        <wp:anchor distT="0" distB="0" distL="114300" distR="114300" simplePos="false" relativeHeight="251656704" behindDoc="true" locked="false" layoutInCell="true" allowOverlap="true" wp14:anchorId="26523D10" wp14:editId="3BFD535F">
          <wp:simplePos x="0" y="0"/>
          <wp:positionH relativeFrom="column">
            <wp:posOffset>-1143000</wp:posOffset>
          </wp:positionH>
          <wp:positionV relativeFrom="paragraph">
            <wp:posOffset>-449580</wp:posOffset>
          </wp:positionV>
          <wp:extent cx="7561012" cy="10692000"/>
          <wp:effectExtent l="0" t="0" r="8255" b="1905"/>
          <wp:wrapNone/>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1" name="Picture 1"/>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0" name="BlueCover.jpg"/>
                  <pic:cNvPicPr/>
                </pic:nvPicPr>
                <pic:blipFill>
                  <a:blip r:embed="rId1">
                    <a:extLst>
                      <a:ext uri="{28A0092B-C50C-407E-A947-70E740481C1C}">
                        <a14:useLocalDpi val="false"/>
                      </a:ext>
                    </a:extLst>
                  </a:blip>
                  <a:stretch>
                    <a:fillRect/>
                  </a:stretch>
                </pic:blipFill>
                <pic:spPr>
                  <a:xfrm>
                    <a:off x="0" y="0"/>
                    <a:ext cx="7561012"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p w:rsidR="00B61E69" w:rsidRDefault="00B61E69" w14:paraId="183EF98A" w14:textId="5A56AE56">
    <w:pPr>
      <w:pStyle w:val="Header"/>
    </w:pPr>
  </w:p>
</w:hdr>
</file>

<file path=word/header5.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p w:rsidR="00B61E69" w:rsidRDefault="00B61E69" w14:paraId="33980779" w14:textId="4A6B0091">
    <w:pPr>
      <w:pStyle w:val="Header"/>
    </w:pPr>
  </w:p>
</w:hdr>
</file>

<file path=word/header6.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p w:rsidR="00B61E69" w:rsidRDefault="00B61E69" w14:paraId="6FE22E58" w14:textId="7111FE53">
    <w:pPr>
      <w:pStyle w:val="Header"/>
    </w:pPr>
  </w:p>
</w:hdr>
</file>

<file path=word/header7.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p w:rsidR="002C2810" w:rsidRDefault="002C2810" w14:paraId="3A3CB1F0" w14:textId="08715DAF">
    <w:pPr>
      <w:pStyle w:val="Header"/>
    </w:pPr>
  </w:p>
</w:hdr>
</file>

<file path=word/header8.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p w:rsidR="002C2810" w:rsidRDefault="002C2810" w14:paraId="524642A9" w14:textId="0023C783">
    <w:pPr>
      <w:pStyle w:val="Header"/>
    </w:pPr>
  </w:p>
</w:hdr>
</file>

<file path=word/header9.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p w:rsidR="002C2810" w:rsidRDefault="002C2810" w14:paraId="2B31E80F" w14:textId="0601A707">
    <w:pPr>
      <w:pStyle w:val="Header"/>
    </w:pPr>
  </w:p>
</w:hdr>
</file>

<file path=word/numbering.xml><?xml version="1.0" encoding="utf-8"?>
<w:numbering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abstractNum w:abstractNumId="0">
    <w:nsid w:val="00F262F5"/>
    <w:multiLevelType w:val="hybridMultilevel"/>
    <w:tmpl w:val="5F0CDA9E"/>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02A409F1"/>
    <w:multiLevelType w:val="hybridMultilevel"/>
    <w:tmpl w:val="3F76214A"/>
    <w:lvl w:ilvl="0" w:tplc="BD62ECD0">
      <w:numFmt w:val="bullet"/>
      <w:lvlText w:val="•"/>
      <w:lvlJc w:val="left"/>
      <w:pPr>
        <w:ind w:left="720" w:hanging="360"/>
      </w:pPr>
      <w:rPr>
        <w:rFonts w:hint="default" w:ascii="Roboto Condensed Light" w:hAnsi="Roboto Condensed Light" w:cs="TradeGothic-Light" w:eastAsiaTheme="minorEastAsia"/>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2">
    <w:nsid w:val="057C177A"/>
    <w:multiLevelType w:val="hybridMultilevel"/>
    <w:tmpl w:val="D92858DA"/>
    <w:lvl w:ilvl="0" w:tplc="0C09000F">
      <w:start w:val="1"/>
      <w:numFmt w:val="decimal"/>
      <w:lvlText w:val="%1."/>
      <w:lvlJc w:val="left"/>
      <w:pPr>
        <w:ind w:left="720" w:hanging="360"/>
      </w:pPr>
      <w:rPr>
        <w:rFonts w:hint="default"/>
      </w:r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3">
    <w:nsid w:val="05A54DB1"/>
    <w:multiLevelType w:val="hybridMultilevel"/>
    <w:tmpl w:val="7D661CDE"/>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4">
    <w:nsid w:val="05A81EDC"/>
    <w:multiLevelType w:val="hybridMultilevel"/>
    <w:tmpl w:val="309C501E"/>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5">
    <w:nsid w:val="07A27150"/>
    <w:multiLevelType w:val="hybridMultilevel"/>
    <w:tmpl w:val="C20007EC"/>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6">
    <w:nsid w:val="091B71E3"/>
    <w:multiLevelType w:val="hybridMultilevel"/>
    <w:tmpl w:val="A380DA40"/>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7">
    <w:nsid w:val="093033FB"/>
    <w:multiLevelType w:val="hybridMultilevel"/>
    <w:tmpl w:val="9FDE900C"/>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8">
    <w:nsid w:val="09553D9B"/>
    <w:multiLevelType w:val="hybridMultilevel"/>
    <w:tmpl w:val="6CB289A0"/>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9">
    <w:nsid w:val="0AEB7EEF"/>
    <w:multiLevelType w:val="hybridMultilevel"/>
    <w:tmpl w:val="F56CC10C"/>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0">
    <w:nsid w:val="11D71D0B"/>
    <w:multiLevelType w:val="hybridMultilevel"/>
    <w:tmpl w:val="CB48465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1">
    <w:nsid w:val="170852C7"/>
    <w:multiLevelType w:val="hybridMultilevel"/>
    <w:tmpl w:val="A6720148"/>
    <w:lvl w:ilvl="0" w:tplc="BD62ECD0">
      <w:numFmt w:val="bullet"/>
      <w:lvlText w:val="•"/>
      <w:lvlJc w:val="left"/>
      <w:pPr>
        <w:ind w:left="720" w:hanging="360"/>
      </w:pPr>
      <w:rPr>
        <w:rFonts w:hint="default" w:ascii="Roboto Condensed Light" w:hAnsi="Roboto Condensed Light" w:cs="TradeGothic-Light" w:eastAsiaTheme="minorEastAsia"/>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2">
    <w:nsid w:val="193C4879"/>
    <w:multiLevelType w:val="hybridMultilevel"/>
    <w:tmpl w:val="2BE44EB6"/>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3">
    <w:nsid w:val="1EF850F6"/>
    <w:multiLevelType w:val="hybridMultilevel"/>
    <w:tmpl w:val="750016E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4">
    <w:nsid w:val="1F787C1E"/>
    <w:multiLevelType w:val="hybridMultilevel"/>
    <w:tmpl w:val="A5CC1D76"/>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5">
    <w:nsid w:val="21E45E81"/>
    <w:multiLevelType w:val="hybridMultilevel"/>
    <w:tmpl w:val="ABF674F2"/>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6">
    <w:nsid w:val="22775F0A"/>
    <w:multiLevelType w:val="hybridMultilevel"/>
    <w:tmpl w:val="7BC6EEFE"/>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7">
    <w:nsid w:val="22891A21"/>
    <w:multiLevelType w:val="hybridMultilevel"/>
    <w:tmpl w:val="6CBE1D20"/>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18">
    <w:nsid w:val="283530CB"/>
    <w:multiLevelType w:val="hybridMultilevel"/>
    <w:tmpl w:val="485EA51C"/>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9">
    <w:nsid w:val="2B6E4AE6"/>
    <w:multiLevelType w:val="hybridMultilevel"/>
    <w:tmpl w:val="2ECA7694"/>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20">
    <w:nsid w:val="2B9A5D67"/>
    <w:multiLevelType w:val="hybridMultilevel"/>
    <w:tmpl w:val="E7FEA550"/>
    <w:lvl w:ilvl="0" w:tplc="BD62ECD0">
      <w:numFmt w:val="bullet"/>
      <w:lvlText w:val="•"/>
      <w:lvlJc w:val="left"/>
      <w:pPr>
        <w:ind w:left="720" w:hanging="360"/>
      </w:pPr>
      <w:rPr>
        <w:rFonts w:hint="default" w:ascii="Roboto Condensed Light" w:hAnsi="Roboto Condensed Light" w:cs="TradeGothic-Light" w:eastAsiaTheme="minorEastAsia"/>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21">
    <w:nsid w:val="2F0D419B"/>
    <w:multiLevelType w:val="hybridMultilevel"/>
    <w:tmpl w:val="2196FA88"/>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22">
    <w:nsid w:val="300C7F7C"/>
    <w:multiLevelType w:val="hybridMultilevel"/>
    <w:tmpl w:val="1CB6DEBE"/>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23">
    <w:nsid w:val="34352170"/>
    <w:multiLevelType w:val="hybridMultilevel"/>
    <w:tmpl w:val="17A6B304"/>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24">
    <w:nsid w:val="343E6AF5"/>
    <w:multiLevelType w:val="hybridMultilevel"/>
    <w:tmpl w:val="E8FA753C"/>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25">
    <w:nsid w:val="34FD0A8F"/>
    <w:multiLevelType w:val="hybridMultilevel"/>
    <w:tmpl w:val="730873DC"/>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26">
    <w:nsid w:val="3A7D0099"/>
    <w:multiLevelType w:val="hybridMultilevel"/>
    <w:tmpl w:val="47841CDC"/>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27">
    <w:nsid w:val="3A953496"/>
    <w:multiLevelType w:val="hybridMultilevel"/>
    <w:tmpl w:val="30EE8060"/>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28">
    <w:nsid w:val="3C543160"/>
    <w:multiLevelType w:val="hybridMultilevel"/>
    <w:tmpl w:val="6BD2E0E8"/>
    <w:lvl w:ilvl="0" w:tplc="249606F0">
      <w:numFmt w:val="bullet"/>
      <w:lvlText w:val="•"/>
      <w:lvlJc w:val="left"/>
      <w:pPr>
        <w:ind w:left="1080" w:hanging="720"/>
      </w:pPr>
      <w:rPr>
        <w:rFonts w:hint="default" w:ascii="Cambria" w:hAnsi="Cambria" w:eastAsiaTheme="minorEastAsia" w:cstheme="minorBidi"/>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29">
    <w:nsid w:val="3D7A2D43"/>
    <w:multiLevelType w:val="hybridMultilevel"/>
    <w:tmpl w:val="358491F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30">
    <w:nsid w:val="3EBA38AE"/>
    <w:multiLevelType w:val="hybridMultilevel"/>
    <w:tmpl w:val="5D74A6EE"/>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31">
    <w:nsid w:val="489F2EF1"/>
    <w:multiLevelType w:val="hybridMultilevel"/>
    <w:tmpl w:val="01C41DD2"/>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32">
    <w:nsid w:val="4C4F4747"/>
    <w:multiLevelType w:val="hybridMultilevel"/>
    <w:tmpl w:val="70A87F90"/>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33">
    <w:nsid w:val="4E0B3E95"/>
    <w:multiLevelType w:val="hybridMultilevel"/>
    <w:tmpl w:val="22267FFC"/>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34">
    <w:nsid w:val="4E1125B1"/>
    <w:multiLevelType w:val="hybridMultilevel"/>
    <w:tmpl w:val="8626FC56"/>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35">
    <w:nsid w:val="4F45455C"/>
    <w:multiLevelType w:val="hybridMultilevel"/>
    <w:tmpl w:val="48A4192C"/>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36">
    <w:nsid w:val="527C1B4A"/>
    <w:multiLevelType w:val="hybridMultilevel"/>
    <w:tmpl w:val="2F4E2448"/>
    <w:lvl w:ilvl="0" w:tplc="BD62ECD0">
      <w:numFmt w:val="bullet"/>
      <w:lvlText w:val="•"/>
      <w:lvlJc w:val="left"/>
      <w:pPr>
        <w:ind w:left="720" w:hanging="360"/>
      </w:pPr>
      <w:rPr>
        <w:rFonts w:hint="default" w:ascii="Roboto Condensed Light" w:hAnsi="Roboto Condensed Light" w:cs="TradeGothic-Light" w:eastAsiaTheme="minorEastAsia"/>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37">
    <w:nsid w:val="558761D7"/>
    <w:multiLevelType w:val="hybridMultilevel"/>
    <w:tmpl w:val="64F0B168"/>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38">
    <w:nsid w:val="55DC17F4"/>
    <w:multiLevelType w:val="hybridMultilevel"/>
    <w:tmpl w:val="3D9C0D42"/>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39">
    <w:nsid w:val="593B72BD"/>
    <w:multiLevelType w:val="hybridMultilevel"/>
    <w:tmpl w:val="21400C06"/>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40">
    <w:nsid w:val="5B4C4023"/>
    <w:multiLevelType w:val="hybridMultilevel"/>
    <w:tmpl w:val="90685C18"/>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41">
    <w:nsid w:val="5C2B14F8"/>
    <w:multiLevelType w:val="hybridMultilevel"/>
    <w:tmpl w:val="1F88EA38"/>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42">
    <w:nsid w:val="5DC80ADC"/>
    <w:multiLevelType w:val="hybridMultilevel"/>
    <w:tmpl w:val="B9DA6746"/>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43">
    <w:nsid w:val="5FBD1F44"/>
    <w:multiLevelType w:val="hybridMultilevel"/>
    <w:tmpl w:val="454A9BC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44">
    <w:nsid w:val="606711E1"/>
    <w:multiLevelType w:val="hybridMultilevel"/>
    <w:tmpl w:val="4B4026B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45">
    <w:nsid w:val="68717484"/>
    <w:multiLevelType w:val="hybridMultilevel"/>
    <w:tmpl w:val="9F7833BE"/>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46">
    <w:nsid w:val="6A3F40FB"/>
    <w:multiLevelType w:val="hybridMultilevel"/>
    <w:tmpl w:val="268ADDA0"/>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47">
    <w:nsid w:val="6C512317"/>
    <w:multiLevelType w:val="hybridMultilevel"/>
    <w:tmpl w:val="E64A2E60"/>
    <w:lvl w:ilvl="0" w:tplc="249606F0">
      <w:numFmt w:val="bullet"/>
      <w:lvlText w:val="•"/>
      <w:lvlJc w:val="left"/>
      <w:pPr>
        <w:ind w:left="1440" w:hanging="720"/>
      </w:pPr>
      <w:rPr>
        <w:rFonts w:hint="default" w:ascii="Cambria" w:hAnsi="Cambria" w:eastAsiaTheme="minorEastAsia" w:cstheme="minorBidi"/>
      </w:rPr>
    </w:lvl>
    <w:lvl w:ilvl="1" w:tplc="0C090003" w:tentative="true">
      <w:start w:val="1"/>
      <w:numFmt w:val="bullet"/>
      <w:lvlText w:val="o"/>
      <w:lvlJc w:val="left"/>
      <w:pPr>
        <w:ind w:left="1800" w:hanging="360"/>
      </w:pPr>
      <w:rPr>
        <w:rFonts w:hint="default" w:ascii="Courier New" w:hAnsi="Courier New" w:cs="Courier New"/>
      </w:rPr>
    </w:lvl>
    <w:lvl w:ilvl="2" w:tplc="0C090005" w:tentative="true">
      <w:start w:val="1"/>
      <w:numFmt w:val="bullet"/>
      <w:lvlText w:val=""/>
      <w:lvlJc w:val="left"/>
      <w:pPr>
        <w:ind w:left="2520" w:hanging="360"/>
      </w:pPr>
      <w:rPr>
        <w:rFonts w:hint="default" w:ascii="Wingdings" w:hAnsi="Wingdings"/>
      </w:rPr>
    </w:lvl>
    <w:lvl w:ilvl="3" w:tplc="0C090001" w:tentative="true">
      <w:start w:val="1"/>
      <w:numFmt w:val="bullet"/>
      <w:lvlText w:val=""/>
      <w:lvlJc w:val="left"/>
      <w:pPr>
        <w:ind w:left="3240" w:hanging="360"/>
      </w:pPr>
      <w:rPr>
        <w:rFonts w:hint="default" w:ascii="Symbol" w:hAnsi="Symbol"/>
      </w:rPr>
    </w:lvl>
    <w:lvl w:ilvl="4" w:tplc="0C090003" w:tentative="true">
      <w:start w:val="1"/>
      <w:numFmt w:val="bullet"/>
      <w:lvlText w:val="o"/>
      <w:lvlJc w:val="left"/>
      <w:pPr>
        <w:ind w:left="3960" w:hanging="360"/>
      </w:pPr>
      <w:rPr>
        <w:rFonts w:hint="default" w:ascii="Courier New" w:hAnsi="Courier New" w:cs="Courier New"/>
      </w:rPr>
    </w:lvl>
    <w:lvl w:ilvl="5" w:tplc="0C090005" w:tentative="true">
      <w:start w:val="1"/>
      <w:numFmt w:val="bullet"/>
      <w:lvlText w:val=""/>
      <w:lvlJc w:val="left"/>
      <w:pPr>
        <w:ind w:left="4680" w:hanging="360"/>
      </w:pPr>
      <w:rPr>
        <w:rFonts w:hint="default" w:ascii="Wingdings" w:hAnsi="Wingdings"/>
      </w:rPr>
    </w:lvl>
    <w:lvl w:ilvl="6" w:tplc="0C090001" w:tentative="true">
      <w:start w:val="1"/>
      <w:numFmt w:val="bullet"/>
      <w:lvlText w:val=""/>
      <w:lvlJc w:val="left"/>
      <w:pPr>
        <w:ind w:left="5400" w:hanging="360"/>
      </w:pPr>
      <w:rPr>
        <w:rFonts w:hint="default" w:ascii="Symbol" w:hAnsi="Symbol"/>
      </w:rPr>
    </w:lvl>
    <w:lvl w:ilvl="7" w:tplc="0C090003" w:tentative="true">
      <w:start w:val="1"/>
      <w:numFmt w:val="bullet"/>
      <w:lvlText w:val="o"/>
      <w:lvlJc w:val="left"/>
      <w:pPr>
        <w:ind w:left="6120" w:hanging="360"/>
      </w:pPr>
      <w:rPr>
        <w:rFonts w:hint="default" w:ascii="Courier New" w:hAnsi="Courier New" w:cs="Courier New"/>
      </w:rPr>
    </w:lvl>
    <w:lvl w:ilvl="8" w:tplc="0C090005" w:tentative="true">
      <w:start w:val="1"/>
      <w:numFmt w:val="bullet"/>
      <w:lvlText w:val=""/>
      <w:lvlJc w:val="left"/>
      <w:pPr>
        <w:ind w:left="6840" w:hanging="360"/>
      </w:pPr>
      <w:rPr>
        <w:rFonts w:hint="default" w:ascii="Wingdings" w:hAnsi="Wingdings"/>
      </w:rPr>
    </w:lvl>
  </w:abstractNum>
  <w:abstractNum w:abstractNumId="48">
    <w:nsid w:val="723D6398"/>
    <w:multiLevelType w:val="hybridMultilevel"/>
    <w:tmpl w:val="30F6D37E"/>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49">
    <w:nsid w:val="72A27027"/>
    <w:multiLevelType w:val="hybridMultilevel"/>
    <w:tmpl w:val="4148D70E"/>
    <w:lvl w:ilvl="0" w:tplc="8894FEA2">
      <w:start w:val="10"/>
      <w:numFmt w:val="bullet"/>
      <w:lvlText w:val="-"/>
      <w:lvlJc w:val="left"/>
      <w:pPr>
        <w:ind w:left="405" w:hanging="360"/>
      </w:pPr>
      <w:rPr>
        <w:rFonts w:hint="default" w:ascii="Roboto Condensed Light" w:hAnsi="Roboto Condensed Light" w:cs="Open Sans" w:eastAsiaTheme="majorEastAsia"/>
      </w:rPr>
    </w:lvl>
    <w:lvl w:ilvl="1" w:tplc="0C090003" w:tentative="true">
      <w:start w:val="1"/>
      <w:numFmt w:val="bullet"/>
      <w:lvlText w:val="o"/>
      <w:lvlJc w:val="left"/>
      <w:pPr>
        <w:ind w:left="1125" w:hanging="360"/>
      </w:pPr>
      <w:rPr>
        <w:rFonts w:hint="default" w:ascii="Courier New" w:hAnsi="Courier New" w:cs="Courier New"/>
      </w:rPr>
    </w:lvl>
    <w:lvl w:ilvl="2" w:tplc="0C090005" w:tentative="true">
      <w:start w:val="1"/>
      <w:numFmt w:val="bullet"/>
      <w:lvlText w:val=""/>
      <w:lvlJc w:val="left"/>
      <w:pPr>
        <w:ind w:left="1845" w:hanging="360"/>
      </w:pPr>
      <w:rPr>
        <w:rFonts w:hint="default" w:ascii="Wingdings" w:hAnsi="Wingdings"/>
      </w:rPr>
    </w:lvl>
    <w:lvl w:ilvl="3" w:tplc="0C090001" w:tentative="true">
      <w:start w:val="1"/>
      <w:numFmt w:val="bullet"/>
      <w:lvlText w:val=""/>
      <w:lvlJc w:val="left"/>
      <w:pPr>
        <w:ind w:left="2565" w:hanging="360"/>
      </w:pPr>
      <w:rPr>
        <w:rFonts w:hint="default" w:ascii="Symbol" w:hAnsi="Symbol"/>
      </w:rPr>
    </w:lvl>
    <w:lvl w:ilvl="4" w:tplc="0C090003" w:tentative="true">
      <w:start w:val="1"/>
      <w:numFmt w:val="bullet"/>
      <w:lvlText w:val="o"/>
      <w:lvlJc w:val="left"/>
      <w:pPr>
        <w:ind w:left="3285" w:hanging="360"/>
      </w:pPr>
      <w:rPr>
        <w:rFonts w:hint="default" w:ascii="Courier New" w:hAnsi="Courier New" w:cs="Courier New"/>
      </w:rPr>
    </w:lvl>
    <w:lvl w:ilvl="5" w:tplc="0C090005" w:tentative="true">
      <w:start w:val="1"/>
      <w:numFmt w:val="bullet"/>
      <w:lvlText w:val=""/>
      <w:lvlJc w:val="left"/>
      <w:pPr>
        <w:ind w:left="4005" w:hanging="360"/>
      </w:pPr>
      <w:rPr>
        <w:rFonts w:hint="default" w:ascii="Wingdings" w:hAnsi="Wingdings"/>
      </w:rPr>
    </w:lvl>
    <w:lvl w:ilvl="6" w:tplc="0C090001" w:tentative="true">
      <w:start w:val="1"/>
      <w:numFmt w:val="bullet"/>
      <w:lvlText w:val=""/>
      <w:lvlJc w:val="left"/>
      <w:pPr>
        <w:ind w:left="4725" w:hanging="360"/>
      </w:pPr>
      <w:rPr>
        <w:rFonts w:hint="default" w:ascii="Symbol" w:hAnsi="Symbol"/>
      </w:rPr>
    </w:lvl>
    <w:lvl w:ilvl="7" w:tplc="0C090003" w:tentative="true">
      <w:start w:val="1"/>
      <w:numFmt w:val="bullet"/>
      <w:lvlText w:val="o"/>
      <w:lvlJc w:val="left"/>
      <w:pPr>
        <w:ind w:left="5445" w:hanging="360"/>
      </w:pPr>
      <w:rPr>
        <w:rFonts w:hint="default" w:ascii="Courier New" w:hAnsi="Courier New" w:cs="Courier New"/>
      </w:rPr>
    </w:lvl>
    <w:lvl w:ilvl="8" w:tplc="0C090005" w:tentative="true">
      <w:start w:val="1"/>
      <w:numFmt w:val="bullet"/>
      <w:lvlText w:val=""/>
      <w:lvlJc w:val="left"/>
      <w:pPr>
        <w:ind w:left="6165" w:hanging="360"/>
      </w:pPr>
      <w:rPr>
        <w:rFonts w:hint="default" w:ascii="Wingdings" w:hAnsi="Wingdings"/>
      </w:rPr>
    </w:lvl>
  </w:abstractNum>
  <w:abstractNum w:abstractNumId="50">
    <w:nsid w:val="72EE6CF1"/>
    <w:multiLevelType w:val="hybridMultilevel"/>
    <w:tmpl w:val="6CBE1D20"/>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51">
    <w:nsid w:val="752D1C16"/>
    <w:multiLevelType w:val="hybridMultilevel"/>
    <w:tmpl w:val="6E7ABDB4"/>
    <w:lvl w:ilvl="0" w:tplc="BD62ECD0">
      <w:numFmt w:val="bullet"/>
      <w:lvlText w:val="•"/>
      <w:lvlJc w:val="left"/>
      <w:pPr>
        <w:ind w:left="720" w:hanging="360"/>
      </w:pPr>
      <w:rPr>
        <w:rFonts w:hint="default" w:ascii="Roboto Condensed Light" w:hAnsi="Roboto Condensed Light" w:cs="TradeGothic-Light" w:eastAsiaTheme="minorEastAsia"/>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52">
    <w:nsid w:val="7F732814"/>
    <w:multiLevelType w:val="hybridMultilevel"/>
    <w:tmpl w:val="A3A6C586"/>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num w:numId="1">
    <w:abstractNumId w:val="25"/>
  </w:num>
  <w:num w:numId="2">
    <w:abstractNumId w:val="42"/>
  </w:num>
  <w:num w:numId="3">
    <w:abstractNumId w:val="12"/>
  </w:num>
  <w:num w:numId="4">
    <w:abstractNumId w:val="40"/>
  </w:num>
  <w:num w:numId="5">
    <w:abstractNumId w:val="51"/>
  </w:num>
  <w:num w:numId="6">
    <w:abstractNumId w:val="50"/>
  </w:num>
  <w:num w:numId="7">
    <w:abstractNumId w:val="11"/>
  </w:num>
  <w:num w:numId="8">
    <w:abstractNumId w:val="36"/>
  </w:num>
  <w:num w:numId="9">
    <w:abstractNumId w:val="1"/>
  </w:num>
  <w:num w:numId="10">
    <w:abstractNumId w:val="20"/>
  </w:num>
  <w:num w:numId="11">
    <w:abstractNumId w:val="32"/>
  </w:num>
  <w:num w:numId="12">
    <w:abstractNumId w:val="34"/>
  </w:num>
  <w:num w:numId="13">
    <w:abstractNumId w:val="33"/>
  </w:num>
  <w:num w:numId="14">
    <w:abstractNumId w:val="19"/>
  </w:num>
  <w:num w:numId="15">
    <w:abstractNumId w:val="6"/>
  </w:num>
  <w:num w:numId="16">
    <w:abstractNumId w:val="16"/>
  </w:num>
  <w:num w:numId="17">
    <w:abstractNumId w:val="13"/>
  </w:num>
  <w:num w:numId="18">
    <w:abstractNumId w:val="45"/>
  </w:num>
  <w:num w:numId="19">
    <w:abstractNumId w:val="4"/>
  </w:num>
  <w:num w:numId="20">
    <w:abstractNumId w:val="21"/>
  </w:num>
  <w:num w:numId="21">
    <w:abstractNumId w:val="41"/>
  </w:num>
  <w:num w:numId="22">
    <w:abstractNumId w:val="0"/>
  </w:num>
  <w:num w:numId="23">
    <w:abstractNumId w:val="27"/>
  </w:num>
  <w:num w:numId="24">
    <w:abstractNumId w:val="24"/>
  </w:num>
  <w:num w:numId="25">
    <w:abstractNumId w:val="29"/>
  </w:num>
  <w:num w:numId="26">
    <w:abstractNumId w:val="30"/>
  </w:num>
  <w:num w:numId="27">
    <w:abstractNumId w:val="35"/>
  </w:num>
  <w:num w:numId="28">
    <w:abstractNumId w:val="52"/>
  </w:num>
  <w:num w:numId="29">
    <w:abstractNumId w:val="15"/>
  </w:num>
  <w:num w:numId="30">
    <w:abstractNumId w:val="26"/>
  </w:num>
  <w:num w:numId="31">
    <w:abstractNumId w:val="39"/>
  </w:num>
  <w:num w:numId="32">
    <w:abstractNumId w:val="43"/>
  </w:num>
  <w:num w:numId="33">
    <w:abstractNumId w:val="23"/>
  </w:num>
  <w:num w:numId="34">
    <w:abstractNumId w:val="8"/>
  </w:num>
  <w:num w:numId="35">
    <w:abstractNumId w:val="22"/>
  </w:num>
  <w:num w:numId="36">
    <w:abstractNumId w:val="46"/>
  </w:num>
  <w:num w:numId="37">
    <w:abstractNumId w:val="48"/>
  </w:num>
  <w:num w:numId="38">
    <w:abstractNumId w:val="38"/>
  </w:num>
  <w:num w:numId="39">
    <w:abstractNumId w:val="10"/>
  </w:num>
  <w:num w:numId="40">
    <w:abstractNumId w:val="14"/>
  </w:num>
  <w:num w:numId="41">
    <w:abstractNumId w:val="44"/>
  </w:num>
  <w:num w:numId="42">
    <w:abstractNumId w:val="9"/>
  </w:num>
  <w:num w:numId="43">
    <w:abstractNumId w:val="7"/>
  </w:num>
  <w:num w:numId="44">
    <w:abstractNumId w:val="18"/>
  </w:num>
  <w:num w:numId="45">
    <w:abstractNumId w:val="49"/>
  </w:num>
  <w:num w:numId="46">
    <w:abstractNumId w:val="31"/>
  </w:num>
  <w:num w:numId="47">
    <w:abstractNumId w:val="28"/>
  </w:num>
  <w:num w:numId="48">
    <w:abstractNumId w:val="47"/>
  </w:num>
  <w:num w:numId="49">
    <w:abstractNumId w:val="17"/>
  </w:num>
  <w:num w:numId="50">
    <w:abstractNumId w:val="37"/>
  </w:num>
  <w:num w:numId="51">
    <w:abstractNumId w:val="2"/>
  </w:num>
  <w:num w:numId="52">
    <w:abstractNumId w:val="3"/>
  </w:num>
  <w:num w:numId="53">
    <w:abstractNumId w:val="5"/>
  </w:num>
  <w:numIdMacAtCleanup w:val="44"/>
</w:numbering>
</file>

<file path=word/settings.xml><?xml version="1.0" encoding="utf-8"?>
<w:setting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zoom w:percent="100"/>
  <w:proofState w:spelling="clean" w:grammar="clean"/>
  <w:defaultTabStop w:val="720"/>
  <w:evenAndOddHeaders/>
  <w:characterSpacingControl w:val="doNotCompress"/>
  <w:hdrShapeDefaults>
    <o:shapedefaults xmlns:o="urn:schemas-microsoft-com:office:office" xmlns:v="urn:schemas-microsoft-com:vml" spidmax="18433" v:ext="edi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67224603-1cd4-4609-8c89-59023bcff40a"/>
  </w:docVars>
  <w:rsids>
    <w:rsidRoot w:val="00C966EB"/>
    <w:rsid w:val="00000863"/>
    <w:rsid w:val="000018D8"/>
    <w:rsid w:val="00002279"/>
    <w:rsid w:val="0000231D"/>
    <w:rsid w:val="00004329"/>
    <w:rsid w:val="00004CDB"/>
    <w:rsid w:val="00007847"/>
    <w:rsid w:val="00011C42"/>
    <w:rsid w:val="000122AB"/>
    <w:rsid w:val="0001393A"/>
    <w:rsid w:val="00016D12"/>
    <w:rsid w:val="00020BC6"/>
    <w:rsid w:val="00022D80"/>
    <w:rsid w:val="00023211"/>
    <w:rsid w:val="00024891"/>
    <w:rsid w:val="000249F4"/>
    <w:rsid w:val="0002756B"/>
    <w:rsid w:val="0003036E"/>
    <w:rsid w:val="00032C3F"/>
    <w:rsid w:val="00034CB5"/>
    <w:rsid w:val="00035E41"/>
    <w:rsid w:val="000362FB"/>
    <w:rsid w:val="0003686E"/>
    <w:rsid w:val="000426E1"/>
    <w:rsid w:val="000455D6"/>
    <w:rsid w:val="00045BEC"/>
    <w:rsid w:val="00046D3F"/>
    <w:rsid w:val="00050AAF"/>
    <w:rsid w:val="00052845"/>
    <w:rsid w:val="00053482"/>
    <w:rsid w:val="0006010A"/>
    <w:rsid w:val="00060BBB"/>
    <w:rsid w:val="0006251E"/>
    <w:rsid w:val="00065611"/>
    <w:rsid w:val="000665AF"/>
    <w:rsid w:val="00066B43"/>
    <w:rsid w:val="00067871"/>
    <w:rsid w:val="00067B00"/>
    <w:rsid w:val="0007039B"/>
    <w:rsid w:val="00073376"/>
    <w:rsid w:val="000740DC"/>
    <w:rsid w:val="00075968"/>
    <w:rsid w:val="000759B0"/>
    <w:rsid w:val="00075B34"/>
    <w:rsid w:val="00080552"/>
    <w:rsid w:val="00081096"/>
    <w:rsid w:val="00083E6B"/>
    <w:rsid w:val="00084799"/>
    <w:rsid w:val="00086716"/>
    <w:rsid w:val="00086F89"/>
    <w:rsid w:val="000902B2"/>
    <w:rsid w:val="00090F7A"/>
    <w:rsid w:val="000914C1"/>
    <w:rsid w:val="0009238E"/>
    <w:rsid w:val="00093911"/>
    <w:rsid w:val="0009526D"/>
    <w:rsid w:val="000955AB"/>
    <w:rsid w:val="000A32A3"/>
    <w:rsid w:val="000A3993"/>
    <w:rsid w:val="000A739B"/>
    <w:rsid w:val="000B5FF9"/>
    <w:rsid w:val="000B7D3F"/>
    <w:rsid w:val="000C54EB"/>
    <w:rsid w:val="000C78C6"/>
    <w:rsid w:val="000D1D7E"/>
    <w:rsid w:val="000D2B0E"/>
    <w:rsid w:val="000D37F7"/>
    <w:rsid w:val="000D3EDC"/>
    <w:rsid w:val="000D7449"/>
    <w:rsid w:val="000D7474"/>
    <w:rsid w:val="000E0A8B"/>
    <w:rsid w:val="000E1F0A"/>
    <w:rsid w:val="000E5877"/>
    <w:rsid w:val="000E6E48"/>
    <w:rsid w:val="000F1692"/>
    <w:rsid w:val="000F1D87"/>
    <w:rsid w:val="000F3324"/>
    <w:rsid w:val="000F3465"/>
    <w:rsid w:val="000F63E9"/>
    <w:rsid w:val="00100AF4"/>
    <w:rsid w:val="00105D2B"/>
    <w:rsid w:val="00110B09"/>
    <w:rsid w:val="00115CB6"/>
    <w:rsid w:val="00120E35"/>
    <w:rsid w:val="00123FF1"/>
    <w:rsid w:val="0012580C"/>
    <w:rsid w:val="00126398"/>
    <w:rsid w:val="001278A2"/>
    <w:rsid w:val="0013084E"/>
    <w:rsid w:val="001417CF"/>
    <w:rsid w:val="00144A3D"/>
    <w:rsid w:val="00150D9D"/>
    <w:rsid w:val="0015156C"/>
    <w:rsid w:val="001536E0"/>
    <w:rsid w:val="00153961"/>
    <w:rsid w:val="001548F8"/>
    <w:rsid w:val="0015583C"/>
    <w:rsid w:val="0015671E"/>
    <w:rsid w:val="00170C9F"/>
    <w:rsid w:val="001741B1"/>
    <w:rsid w:val="00175B8B"/>
    <w:rsid w:val="00177D81"/>
    <w:rsid w:val="00182FB0"/>
    <w:rsid w:val="00184C97"/>
    <w:rsid w:val="00185F18"/>
    <w:rsid w:val="001900D7"/>
    <w:rsid w:val="00192895"/>
    <w:rsid w:val="00193588"/>
    <w:rsid w:val="00194E5A"/>
    <w:rsid w:val="00195703"/>
    <w:rsid w:val="00195BD1"/>
    <w:rsid w:val="001A3896"/>
    <w:rsid w:val="001A39FE"/>
    <w:rsid w:val="001A58EC"/>
    <w:rsid w:val="001A7C6B"/>
    <w:rsid w:val="001B1B35"/>
    <w:rsid w:val="001B33C1"/>
    <w:rsid w:val="001B3B3D"/>
    <w:rsid w:val="001B3C66"/>
    <w:rsid w:val="001B5421"/>
    <w:rsid w:val="001B64E2"/>
    <w:rsid w:val="001C0938"/>
    <w:rsid w:val="001C17BE"/>
    <w:rsid w:val="001C1C24"/>
    <w:rsid w:val="001C2B4F"/>
    <w:rsid w:val="001C6725"/>
    <w:rsid w:val="001D4B84"/>
    <w:rsid w:val="001E1679"/>
    <w:rsid w:val="001E4EE4"/>
    <w:rsid w:val="001E7990"/>
    <w:rsid w:val="001E7F86"/>
    <w:rsid w:val="001F0C1D"/>
    <w:rsid w:val="001F0D39"/>
    <w:rsid w:val="001F1978"/>
    <w:rsid w:val="001F1CEC"/>
    <w:rsid w:val="001F26AA"/>
    <w:rsid w:val="001F294B"/>
    <w:rsid w:val="00202DCE"/>
    <w:rsid w:val="00205BD6"/>
    <w:rsid w:val="002077F1"/>
    <w:rsid w:val="00211634"/>
    <w:rsid w:val="00211B86"/>
    <w:rsid w:val="00213D37"/>
    <w:rsid w:val="00217642"/>
    <w:rsid w:val="00221105"/>
    <w:rsid w:val="00224545"/>
    <w:rsid w:val="00226971"/>
    <w:rsid w:val="00227919"/>
    <w:rsid w:val="00230671"/>
    <w:rsid w:val="00231D6F"/>
    <w:rsid w:val="002338A0"/>
    <w:rsid w:val="0023578E"/>
    <w:rsid w:val="00237B6A"/>
    <w:rsid w:val="002404BD"/>
    <w:rsid w:val="002427FE"/>
    <w:rsid w:val="00243771"/>
    <w:rsid w:val="00244A3C"/>
    <w:rsid w:val="002453D7"/>
    <w:rsid w:val="00250E64"/>
    <w:rsid w:val="0025283B"/>
    <w:rsid w:val="00254D75"/>
    <w:rsid w:val="002603ED"/>
    <w:rsid w:val="002613D5"/>
    <w:rsid w:val="00265839"/>
    <w:rsid w:val="002665EF"/>
    <w:rsid w:val="00271A02"/>
    <w:rsid w:val="00272560"/>
    <w:rsid w:val="00272FBA"/>
    <w:rsid w:val="00273513"/>
    <w:rsid w:val="00274CE0"/>
    <w:rsid w:val="00274FD7"/>
    <w:rsid w:val="0027500E"/>
    <w:rsid w:val="002759A0"/>
    <w:rsid w:val="00276755"/>
    <w:rsid w:val="002774D7"/>
    <w:rsid w:val="0028474C"/>
    <w:rsid w:val="00285466"/>
    <w:rsid w:val="00285806"/>
    <w:rsid w:val="00285D76"/>
    <w:rsid w:val="00285E45"/>
    <w:rsid w:val="00286432"/>
    <w:rsid w:val="00292B19"/>
    <w:rsid w:val="0029357D"/>
    <w:rsid w:val="00293D79"/>
    <w:rsid w:val="002940AE"/>
    <w:rsid w:val="00297ECA"/>
    <w:rsid w:val="002A0AD5"/>
    <w:rsid w:val="002A2C48"/>
    <w:rsid w:val="002A2D0C"/>
    <w:rsid w:val="002A5280"/>
    <w:rsid w:val="002A6147"/>
    <w:rsid w:val="002B22E1"/>
    <w:rsid w:val="002B2F4E"/>
    <w:rsid w:val="002B4249"/>
    <w:rsid w:val="002B4C0A"/>
    <w:rsid w:val="002B4E3F"/>
    <w:rsid w:val="002B7A66"/>
    <w:rsid w:val="002C2810"/>
    <w:rsid w:val="002C4B2D"/>
    <w:rsid w:val="002C7320"/>
    <w:rsid w:val="002C77F5"/>
    <w:rsid w:val="002C7AF7"/>
    <w:rsid w:val="002D4556"/>
    <w:rsid w:val="002D7D56"/>
    <w:rsid w:val="002E035A"/>
    <w:rsid w:val="002E0ED5"/>
    <w:rsid w:val="002E445C"/>
    <w:rsid w:val="002E7178"/>
    <w:rsid w:val="002E7E41"/>
    <w:rsid w:val="002F1B1D"/>
    <w:rsid w:val="002F25DF"/>
    <w:rsid w:val="002F3497"/>
    <w:rsid w:val="002F36AC"/>
    <w:rsid w:val="002F6535"/>
    <w:rsid w:val="002F69FA"/>
    <w:rsid w:val="002F72ED"/>
    <w:rsid w:val="00300444"/>
    <w:rsid w:val="00304FD8"/>
    <w:rsid w:val="00305646"/>
    <w:rsid w:val="00314831"/>
    <w:rsid w:val="003159B6"/>
    <w:rsid w:val="003170D3"/>
    <w:rsid w:val="00320188"/>
    <w:rsid w:val="00323297"/>
    <w:rsid w:val="00323EDD"/>
    <w:rsid w:val="00327DE7"/>
    <w:rsid w:val="00332F69"/>
    <w:rsid w:val="00340BCA"/>
    <w:rsid w:val="0034424F"/>
    <w:rsid w:val="00344683"/>
    <w:rsid w:val="00345CB7"/>
    <w:rsid w:val="00347839"/>
    <w:rsid w:val="00354DA5"/>
    <w:rsid w:val="0036174E"/>
    <w:rsid w:val="00363AF7"/>
    <w:rsid w:val="00363F4D"/>
    <w:rsid w:val="00364DEE"/>
    <w:rsid w:val="00364F85"/>
    <w:rsid w:val="0036672E"/>
    <w:rsid w:val="00366D88"/>
    <w:rsid w:val="00375640"/>
    <w:rsid w:val="00377A7F"/>
    <w:rsid w:val="00381C3F"/>
    <w:rsid w:val="003903BF"/>
    <w:rsid w:val="00390741"/>
    <w:rsid w:val="00391420"/>
    <w:rsid w:val="003925EB"/>
    <w:rsid w:val="0039336C"/>
    <w:rsid w:val="0039578B"/>
    <w:rsid w:val="003A130C"/>
    <w:rsid w:val="003A18D5"/>
    <w:rsid w:val="003A44C6"/>
    <w:rsid w:val="003A48E0"/>
    <w:rsid w:val="003A4CEF"/>
    <w:rsid w:val="003B444C"/>
    <w:rsid w:val="003C0524"/>
    <w:rsid w:val="003C3CC7"/>
    <w:rsid w:val="003C43B1"/>
    <w:rsid w:val="003C46EF"/>
    <w:rsid w:val="003C6399"/>
    <w:rsid w:val="003D28C9"/>
    <w:rsid w:val="003D4B0D"/>
    <w:rsid w:val="003D6915"/>
    <w:rsid w:val="003E09D5"/>
    <w:rsid w:val="003E389A"/>
    <w:rsid w:val="003E5538"/>
    <w:rsid w:val="003F3C69"/>
    <w:rsid w:val="00400237"/>
    <w:rsid w:val="00400327"/>
    <w:rsid w:val="00402182"/>
    <w:rsid w:val="00405D5C"/>
    <w:rsid w:val="00406798"/>
    <w:rsid w:val="00410DBD"/>
    <w:rsid w:val="004136FC"/>
    <w:rsid w:val="00417F20"/>
    <w:rsid w:val="004239C8"/>
    <w:rsid w:val="00424BFD"/>
    <w:rsid w:val="00424FC6"/>
    <w:rsid w:val="0043188A"/>
    <w:rsid w:val="00431AD2"/>
    <w:rsid w:val="004336D6"/>
    <w:rsid w:val="004344EE"/>
    <w:rsid w:val="00435165"/>
    <w:rsid w:val="00436674"/>
    <w:rsid w:val="0044139A"/>
    <w:rsid w:val="00444633"/>
    <w:rsid w:val="00450C03"/>
    <w:rsid w:val="00452748"/>
    <w:rsid w:val="00454B11"/>
    <w:rsid w:val="0046227F"/>
    <w:rsid w:val="004674FC"/>
    <w:rsid w:val="00467DA5"/>
    <w:rsid w:val="00474330"/>
    <w:rsid w:val="00476D68"/>
    <w:rsid w:val="0048134C"/>
    <w:rsid w:val="0048720F"/>
    <w:rsid w:val="00487DB1"/>
    <w:rsid w:val="00491B8F"/>
    <w:rsid w:val="00494EEC"/>
    <w:rsid w:val="00495065"/>
    <w:rsid w:val="004968FE"/>
    <w:rsid w:val="00496B90"/>
    <w:rsid w:val="004A4FE4"/>
    <w:rsid w:val="004A5EEB"/>
    <w:rsid w:val="004A788B"/>
    <w:rsid w:val="004B060C"/>
    <w:rsid w:val="004B1A44"/>
    <w:rsid w:val="004B2998"/>
    <w:rsid w:val="004B2AD3"/>
    <w:rsid w:val="004B2B7F"/>
    <w:rsid w:val="004B3F1A"/>
    <w:rsid w:val="004B4B9C"/>
    <w:rsid w:val="004C2B9E"/>
    <w:rsid w:val="004D1746"/>
    <w:rsid w:val="004D17D2"/>
    <w:rsid w:val="004D1D52"/>
    <w:rsid w:val="004D2DF6"/>
    <w:rsid w:val="004D2FF2"/>
    <w:rsid w:val="004D3A2A"/>
    <w:rsid w:val="004D608E"/>
    <w:rsid w:val="004E1D1E"/>
    <w:rsid w:val="004E37F2"/>
    <w:rsid w:val="004E4608"/>
    <w:rsid w:val="004E47C7"/>
    <w:rsid w:val="004E482F"/>
    <w:rsid w:val="004E4D9C"/>
    <w:rsid w:val="004E57E4"/>
    <w:rsid w:val="004E6965"/>
    <w:rsid w:val="004E6B24"/>
    <w:rsid w:val="004F4225"/>
    <w:rsid w:val="004F42A0"/>
    <w:rsid w:val="004F513C"/>
    <w:rsid w:val="004F6AC2"/>
    <w:rsid w:val="004F7596"/>
    <w:rsid w:val="00500B88"/>
    <w:rsid w:val="00500C9C"/>
    <w:rsid w:val="00502DD8"/>
    <w:rsid w:val="005032C2"/>
    <w:rsid w:val="00513C13"/>
    <w:rsid w:val="005208A3"/>
    <w:rsid w:val="00522447"/>
    <w:rsid w:val="005259C4"/>
    <w:rsid w:val="00525E59"/>
    <w:rsid w:val="00531501"/>
    <w:rsid w:val="00532233"/>
    <w:rsid w:val="005326DE"/>
    <w:rsid w:val="005329DD"/>
    <w:rsid w:val="0053309B"/>
    <w:rsid w:val="00537115"/>
    <w:rsid w:val="00542602"/>
    <w:rsid w:val="00543245"/>
    <w:rsid w:val="005437F0"/>
    <w:rsid w:val="00545073"/>
    <w:rsid w:val="00546CFA"/>
    <w:rsid w:val="005479E8"/>
    <w:rsid w:val="00547AB7"/>
    <w:rsid w:val="00553026"/>
    <w:rsid w:val="00553452"/>
    <w:rsid w:val="0055375D"/>
    <w:rsid w:val="0055398B"/>
    <w:rsid w:val="00554EE7"/>
    <w:rsid w:val="00555C2D"/>
    <w:rsid w:val="00557CDF"/>
    <w:rsid w:val="0056225A"/>
    <w:rsid w:val="00563522"/>
    <w:rsid w:val="005645CB"/>
    <w:rsid w:val="00570F42"/>
    <w:rsid w:val="005724D2"/>
    <w:rsid w:val="00575A2E"/>
    <w:rsid w:val="005816C4"/>
    <w:rsid w:val="00584359"/>
    <w:rsid w:val="005900DB"/>
    <w:rsid w:val="005901E8"/>
    <w:rsid w:val="0059046E"/>
    <w:rsid w:val="0059102D"/>
    <w:rsid w:val="00592DC8"/>
    <w:rsid w:val="00594807"/>
    <w:rsid w:val="00595D6B"/>
    <w:rsid w:val="00595E1F"/>
    <w:rsid w:val="00596232"/>
    <w:rsid w:val="005A4DFF"/>
    <w:rsid w:val="005A5D60"/>
    <w:rsid w:val="005B22C1"/>
    <w:rsid w:val="005B36E0"/>
    <w:rsid w:val="005B5122"/>
    <w:rsid w:val="005C0491"/>
    <w:rsid w:val="005C25BD"/>
    <w:rsid w:val="005C25D8"/>
    <w:rsid w:val="005C3B78"/>
    <w:rsid w:val="005C50C4"/>
    <w:rsid w:val="005C533E"/>
    <w:rsid w:val="005C56A6"/>
    <w:rsid w:val="005C7BC3"/>
    <w:rsid w:val="005D23AF"/>
    <w:rsid w:val="005D295D"/>
    <w:rsid w:val="005D38DC"/>
    <w:rsid w:val="005E3FBA"/>
    <w:rsid w:val="005E3FC7"/>
    <w:rsid w:val="005E5B76"/>
    <w:rsid w:val="005E731A"/>
    <w:rsid w:val="005F0308"/>
    <w:rsid w:val="005F1765"/>
    <w:rsid w:val="005F4398"/>
    <w:rsid w:val="005F53AC"/>
    <w:rsid w:val="00602523"/>
    <w:rsid w:val="00602809"/>
    <w:rsid w:val="00604B1D"/>
    <w:rsid w:val="00610CD4"/>
    <w:rsid w:val="0061126E"/>
    <w:rsid w:val="00612EB8"/>
    <w:rsid w:val="006143B6"/>
    <w:rsid w:val="00616993"/>
    <w:rsid w:val="00622FB2"/>
    <w:rsid w:val="006238A8"/>
    <w:rsid w:val="00625B60"/>
    <w:rsid w:val="00626C30"/>
    <w:rsid w:val="00632C9A"/>
    <w:rsid w:val="00634075"/>
    <w:rsid w:val="00636B4A"/>
    <w:rsid w:val="0063702F"/>
    <w:rsid w:val="00637B5C"/>
    <w:rsid w:val="00640812"/>
    <w:rsid w:val="00642364"/>
    <w:rsid w:val="00643675"/>
    <w:rsid w:val="00643A39"/>
    <w:rsid w:val="0064587D"/>
    <w:rsid w:val="00646ECB"/>
    <w:rsid w:val="00655D31"/>
    <w:rsid w:val="00660F70"/>
    <w:rsid w:val="0066120C"/>
    <w:rsid w:val="00662256"/>
    <w:rsid w:val="006629D6"/>
    <w:rsid w:val="006652D6"/>
    <w:rsid w:val="00667062"/>
    <w:rsid w:val="00670611"/>
    <w:rsid w:val="00670C86"/>
    <w:rsid w:val="006717FE"/>
    <w:rsid w:val="0067309E"/>
    <w:rsid w:val="00676EBA"/>
    <w:rsid w:val="00680F14"/>
    <w:rsid w:val="006811D2"/>
    <w:rsid w:val="00682A68"/>
    <w:rsid w:val="00686BCE"/>
    <w:rsid w:val="006937A6"/>
    <w:rsid w:val="00694FC1"/>
    <w:rsid w:val="0069596E"/>
    <w:rsid w:val="006964D8"/>
    <w:rsid w:val="0069665C"/>
    <w:rsid w:val="006975A0"/>
    <w:rsid w:val="006A0258"/>
    <w:rsid w:val="006A081E"/>
    <w:rsid w:val="006A1382"/>
    <w:rsid w:val="006A3598"/>
    <w:rsid w:val="006A4FDA"/>
    <w:rsid w:val="006A77A3"/>
    <w:rsid w:val="006B5D5B"/>
    <w:rsid w:val="006C1071"/>
    <w:rsid w:val="006C214E"/>
    <w:rsid w:val="006C5CE4"/>
    <w:rsid w:val="006C6D96"/>
    <w:rsid w:val="006C73E1"/>
    <w:rsid w:val="006D4618"/>
    <w:rsid w:val="006D498D"/>
    <w:rsid w:val="006D5C30"/>
    <w:rsid w:val="006D6091"/>
    <w:rsid w:val="006D7DC1"/>
    <w:rsid w:val="006E1C08"/>
    <w:rsid w:val="006E392A"/>
    <w:rsid w:val="006E7BE0"/>
    <w:rsid w:val="006F088D"/>
    <w:rsid w:val="006F5BF5"/>
    <w:rsid w:val="007023B4"/>
    <w:rsid w:val="00703709"/>
    <w:rsid w:val="00711DA9"/>
    <w:rsid w:val="007120B7"/>
    <w:rsid w:val="0071345C"/>
    <w:rsid w:val="00713D5B"/>
    <w:rsid w:val="0071457D"/>
    <w:rsid w:val="00714A41"/>
    <w:rsid w:val="00717B0B"/>
    <w:rsid w:val="00720390"/>
    <w:rsid w:val="00725ACF"/>
    <w:rsid w:val="0072762C"/>
    <w:rsid w:val="00730082"/>
    <w:rsid w:val="00731885"/>
    <w:rsid w:val="00732272"/>
    <w:rsid w:val="00732622"/>
    <w:rsid w:val="00733148"/>
    <w:rsid w:val="007338CD"/>
    <w:rsid w:val="00734BBB"/>
    <w:rsid w:val="00735CAD"/>
    <w:rsid w:val="00741056"/>
    <w:rsid w:val="00741502"/>
    <w:rsid w:val="00744CAB"/>
    <w:rsid w:val="00752ACB"/>
    <w:rsid w:val="00754D51"/>
    <w:rsid w:val="007577FE"/>
    <w:rsid w:val="00757C2B"/>
    <w:rsid w:val="00764DD3"/>
    <w:rsid w:val="00766982"/>
    <w:rsid w:val="00767381"/>
    <w:rsid w:val="00770BED"/>
    <w:rsid w:val="00773C3E"/>
    <w:rsid w:val="00776029"/>
    <w:rsid w:val="007812A5"/>
    <w:rsid w:val="00781C00"/>
    <w:rsid w:val="00782066"/>
    <w:rsid w:val="00782E20"/>
    <w:rsid w:val="00783F09"/>
    <w:rsid w:val="007848C3"/>
    <w:rsid w:val="00786FB3"/>
    <w:rsid w:val="0079033F"/>
    <w:rsid w:val="0079377D"/>
    <w:rsid w:val="007972BF"/>
    <w:rsid w:val="00797ABA"/>
    <w:rsid w:val="007A1C23"/>
    <w:rsid w:val="007A37C0"/>
    <w:rsid w:val="007A47B2"/>
    <w:rsid w:val="007A5B2F"/>
    <w:rsid w:val="007A7194"/>
    <w:rsid w:val="007A74F7"/>
    <w:rsid w:val="007B1DBA"/>
    <w:rsid w:val="007B3C8D"/>
    <w:rsid w:val="007C1D6F"/>
    <w:rsid w:val="007C705A"/>
    <w:rsid w:val="007C7C15"/>
    <w:rsid w:val="007D198A"/>
    <w:rsid w:val="007D2161"/>
    <w:rsid w:val="007D2B56"/>
    <w:rsid w:val="007D4B4D"/>
    <w:rsid w:val="007D69DD"/>
    <w:rsid w:val="007D7A34"/>
    <w:rsid w:val="007E2E25"/>
    <w:rsid w:val="007E42BE"/>
    <w:rsid w:val="007E4BCB"/>
    <w:rsid w:val="007E77EF"/>
    <w:rsid w:val="007F0E98"/>
    <w:rsid w:val="007F433A"/>
    <w:rsid w:val="007F7358"/>
    <w:rsid w:val="00802520"/>
    <w:rsid w:val="00802538"/>
    <w:rsid w:val="0080283B"/>
    <w:rsid w:val="008041A5"/>
    <w:rsid w:val="00804494"/>
    <w:rsid w:val="008074CD"/>
    <w:rsid w:val="00826BBF"/>
    <w:rsid w:val="008270A5"/>
    <w:rsid w:val="008272B9"/>
    <w:rsid w:val="00840255"/>
    <w:rsid w:val="00840937"/>
    <w:rsid w:val="00840FB1"/>
    <w:rsid w:val="00844F57"/>
    <w:rsid w:val="0085029E"/>
    <w:rsid w:val="00850D45"/>
    <w:rsid w:val="0085467B"/>
    <w:rsid w:val="0086393A"/>
    <w:rsid w:val="00863BC0"/>
    <w:rsid w:val="00864A31"/>
    <w:rsid w:val="00864B54"/>
    <w:rsid w:val="00866A15"/>
    <w:rsid w:val="00867CEA"/>
    <w:rsid w:val="00870AB1"/>
    <w:rsid w:val="00876E46"/>
    <w:rsid w:val="008779CE"/>
    <w:rsid w:val="00880D32"/>
    <w:rsid w:val="008819C7"/>
    <w:rsid w:val="0088231B"/>
    <w:rsid w:val="00882CDC"/>
    <w:rsid w:val="00884AD6"/>
    <w:rsid w:val="00884C89"/>
    <w:rsid w:val="008854B2"/>
    <w:rsid w:val="00890848"/>
    <w:rsid w:val="008A31AA"/>
    <w:rsid w:val="008A46AA"/>
    <w:rsid w:val="008B2984"/>
    <w:rsid w:val="008B49CB"/>
    <w:rsid w:val="008C406B"/>
    <w:rsid w:val="008C4583"/>
    <w:rsid w:val="008C5CA6"/>
    <w:rsid w:val="008C7292"/>
    <w:rsid w:val="008C76C7"/>
    <w:rsid w:val="008D055A"/>
    <w:rsid w:val="008D3DD0"/>
    <w:rsid w:val="008D3FE5"/>
    <w:rsid w:val="008D4923"/>
    <w:rsid w:val="008D5D54"/>
    <w:rsid w:val="008E5B5A"/>
    <w:rsid w:val="008E726E"/>
    <w:rsid w:val="008F0C9F"/>
    <w:rsid w:val="008F5412"/>
    <w:rsid w:val="008F70AC"/>
    <w:rsid w:val="008F7FDE"/>
    <w:rsid w:val="00900ADC"/>
    <w:rsid w:val="009010B1"/>
    <w:rsid w:val="00901250"/>
    <w:rsid w:val="0090201A"/>
    <w:rsid w:val="00902149"/>
    <w:rsid w:val="00904839"/>
    <w:rsid w:val="009048DD"/>
    <w:rsid w:val="009066B0"/>
    <w:rsid w:val="00906D72"/>
    <w:rsid w:val="00907223"/>
    <w:rsid w:val="00907941"/>
    <w:rsid w:val="009103CE"/>
    <w:rsid w:val="00910AD6"/>
    <w:rsid w:val="00912396"/>
    <w:rsid w:val="009176B9"/>
    <w:rsid w:val="00920CB9"/>
    <w:rsid w:val="00920DD5"/>
    <w:rsid w:val="00921955"/>
    <w:rsid w:val="00922243"/>
    <w:rsid w:val="00924336"/>
    <w:rsid w:val="009246E7"/>
    <w:rsid w:val="0093005E"/>
    <w:rsid w:val="009307D2"/>
    <w:rsid w:val="009324BB"/>
    <w:rsid w:val="00932F68"/>
    <w:rsid w:val="0093431C"/>
    <w:rsid w:val="009350A6"/>
    <w:rsid w:val="009400E4"/>
    <w:rsid w:val="00941333"/>
    <w:rsid w:val="00946203"/>
    <w:rsid w:val="0096532C"/>
    <w:rsid w:val="00967CB1"/>
    <w:rsid w:val="00970ED4"/>
    <w:rsid w:val="009711B2"/>
    <w:rsid w:val="00971398"/>
    <w:rsid w:val="009723FE"/>
    <w:rsid w:val="0097574E"/>
    <w:rsid w:val="009771CF"/>
    <w:rsid w:val="00980056"/>
    <w:rsid w:val="009803E3"/>
    <w:rsid w:val="00982332"/>
    <w:rsid w:val="009832F2"/>
    <w:rsid w:val="0098389A"/>
    <w:rsid w:val="009860B9"/>
    <w:rsid w:val="009909FF"/>
    <w:rsid w:val="00990BCD"/>
    <w:rsid w:val="00990CBB"/>
    <w:rsid w:val="009918D3"/>
    <w:rsid w:val="009929BB"/>
    <w:rsid w:val="00995531"/>
    <w:rsid w:val="00995691"/>
    <w:rsid w:val="00995F6F"/>
    <w:rsid w:val="00997C16"/>
    <w:rsid w:val="009A2FDC"/>
    <w:rsid w:val="009A507B"/>
    <w:rsid w:val="009A5281"/>
    <w:rsid w:val="009B49F9"/>
    <w:rsid w:val="009B4B6D"/>
    <w:rsid w:val="009C2A80"/>
    <w:rsid w:val="009C3E73"/>
    <w:rsid w:val="009C5CD9"/>
    <w:rsid w:val="009C6005"/>
    <w:rsid w:val="009D0688"/>
    <w:rsid w:val="009D181D"/>
    <w:rsid w:val="009D31BA"/>
    <w:rsid w:val="009D3A4A"/>
    <w:rsid w:val="009D4DEA"/>
    <w:rsid w:val="009E10FD"/>
    <w:rsid w:val="009E43A8"/>
    <w:rsid w:val="009F0E6E"/>
    <w:rsid w:val="009F2517"/>
    <w:rsid w:val="009F28D2"/>
    <w:rsid w:val="009F44E1"/>
    <w:rsid w:val="009F59CC"/>
    <w:rsid w:val="009F6002"/>
    <w:rsid w:val="009F7B2C"/>
    <w:rsid w:val="00A03F0B"/>
    <w:rsid w:val="00A06A27"/>
    <w:rsid w:val="00A12430"/>
    <w:rsid w:val="00A13EC8"/>
    <w:rsid w:val="00A15778"/>
    <w:rsid w:val="00A1759A"/>
    <w:rsid w:val="00A2020E"/>
    <w:rsid w:val="00A2199B"/>
    <w:rsid w:val="00A21D72"/>
    <w:rsid w:val="00A223C2"/>
    <w:rsid w:val="00A228FC"/>
    <w:rsid w:val="00A2522B"/>
    <w:rsid w:val="00A33902"/>
    <w:rsid w:val="00A349BC"/>
    <w:rsid w:val="00A34EA0"/>
    <w:rsid w:val="00A36D06"/>
    <w:rsid w:val="00A3733A"/>
    <w:rsid w:val="00A4086B"/>
    <w:rsid w:val="00A45E11"/>
    <w:rsid w:val="00A47B20"/>
    <w:rsid w:val="00A47D10"/>
    <w:rsid w:val="00A51C54"/>
    <w:rsid w:val="00A54B5E"/>
    <w:rsid w:val="00A564ED"/>
    <w:rsid w:val="00A57ACD"/>
    <w:rsid w:val="00A617A6"/>
    <w:rsid w:val="00A62C82"/>
    <w:rsid w:val="00A63B39"/>
    <w:rsid w:val="00A675B6"/>
    <w:rsid w:val="00A679C9"/>
    <w:rsid w:val="00A71355"/>
    <w:rsid w:val="00A71DBF"/>
    <w:rsid w:val="00A73CCF"/>
    <w:rsid w:val="00A741CD"/>
    <w:rsid w:val="00A74E70"/>
    <w:rsid w:val="00A755D0"/>
    <w:rsid w:val="00A76F84"/>
    <w:rsid w:val="00A80F9C"/>
    <w:rsid w:val="00A82C21"/>
    <w:rsid w:val="00A82E1E"/>
    <w:rsid w:val="00A83059"/>
    <w:rsid w:val="00A83FE8"/>
    <w:rsid w:val="00A84D14"/>
    <w:rsid w:val="00A86F7B"/>
    <w:rsid w:val="00A90EFB"/>
    <w:rsid w:val="00A93E36"/>
    <w:rsid w:val="00A93F44"/>
    <w:rsid w:val="00A95F35"/>
    <w:rsid w:val="00A96B61"/>
    <w:rsid w:val="00A96DA6"/>
    <w:rsid w:val="00A97851"/>
    <w:rsid w:val="00A97AD8"/>
    <w:rsid w:val="00AA19F9"/>
    <w:rsid w:val="00AA248F"/>
    <w:rsid w:val="00AA3EB9"/>
    <w:rsid w:val="00AB1120"/>
    <w:rsid w:val="00AB28D3"/>
    <w:rsid w:val="00AB386E"/>
    <w:rsid w:val="00AB3C21"/>
    <w:rsid w:val="00AB5BD7"/>
    <w:rsid w:val="00AB7B52"/>
    <w:rsid w:val="00AB7CE6"/>
    <w:rsid w:val="00AC1EDE"/>
    <w:rsid w:val="00AC4C43"/>
    <w:rsid w:val="00AD16FC"/>
    <w:rsid w:val="00AD22EF"/>
    <w:rsid w:val="00AD279F"/>
    <w:rsid w:val="00AD2A1D"/>
    <w:rsid w:val="00AD45F5"/>
    <w:rsid w:val="00AD47A3"/>
    <w:rsid w:val="00AD660F"/>
    <w:rsid w:val="00AE0241"/>
    <w:rsid w:val="00AE1C82"/>
    <w:rsid w:val="00AE40A2"/>
    <w:rsid w:val="00AF07C3"/>
    <w:rsid w:val="00AF35A7"/>
    <w:rsid w:val="00AF3AD2"/>
    <w:rsid w:val="00B01959"/>
    <w:rsid w:val="00B0304A"/>
    <w:rsid w:val="00B03765"/>
    <w:rsid w:val="00B0422E"/>
    <w:rsid w:val="00B05134"/>
    <w:rsid w:val="00B06278"/>
    <w:rsid w:val="00B10750"/>
    <w:rsid w:val="00B109D6"/>
    <w:rsid w:val="00B11AA4"/>
    <w:rsid w:val="00B12D6D"/>
    <w:rsid w:val="00B13995"/>
    <w:rsid w:val="00B14AA0"/>
    <w:rsid w:val="00B16088"/>
    <w:rsid w:val="00B254C9"/>
    <w:rsid w:val="00B31450"/>
    <w:rsid w:val="00B32407"/>
    <w:rsid w:val="00B3293B"/>
    <w:rsid w:val="00B35894"/>
    <w:rsid w:val="00B3662B"/>
    <w:rsid w:val="00B375C5"/>
    <w:rsid w:val="00B37DB8"/>
    <w:rsid w:val="00B43766"/>
    <w:rsid w:val="00B43A94"/>
    <w:rsid w:val="00B44DCB"/>
    <w:rsid w:val="00B45DC2"/>
    <w:rsid w:val="00B47E56"/>
    <w:rsid w:val="00B52D7E"/>
    <w:rsid w:val="00B5660D"/>
    <w:rsid w:val="00B572F7"/>
    <w:rsid w:val="00B57C16"/>
    <w:rsid w:val="00B61E69"/>
    <w:rsid w:val="00B63F08"/>
    <w:rsid w:val="00B6460E"/>
    <w:rsid w:val="00B66782"/>
    <w:rsid w:val="00B730EF"/>
    <w:rsid w:val="00B750AC"/>
    <w:rsid w:val="00B76FF5"/>
    <w:rsid w:val="00B808C3"/>
    <w:rsid w:val="00B82E32"/>
    <w:rsid w:val="00B837ED"/>
    <w:rsid w:val="00B847EB"/>
    <w:rsid w:val="00B848F0"/>
    <w:rsid w:val="00B91B5F"/>
    <w:rsid w:val="00B93B37"/>
    <w:rsid w:val="00B9512C"/>
    <w:rsid w:val="00B951A4"/>
    <w:rsid w:val="00B96E97"/>
    <w:rsid w:val="00BA2F03"/>
    <w:rsid w:val="00BA5A3E"/>
    <w:rsid w:val="00BA7C85"/>
    <w:rsid w:val="00BB0737"/>
    <w:rsid w:val="00BB34E6"/>
    <w:rsid w:val="00BB39F7"/>
    <w:rsid w:val="00BB3B9B"/>
    <w:rsid w:val="00BC2AF4"/>
    <w:rsid w:val="00BD05D4"/>
    <w:rsid w:val="00BD0C67"/>
    <w:rsid w:val="00BD22C2"/>
    <w:rsid w:val="00BD35DE"/>
    <w:rsid w:val="00BD5D50"/>
    <w:rsid w:val="00BD7BDE"/>
    <w:rsid w:val="00BD7C6B"/>
    <w:rsid w:val="00BE0EB2"/>
    <w:rsid w:val="00BE199A"/>
    <w:rsid w:val="00BE24F5"/>
    <w:rsid w:val="00BF1068"/>
    <w:rsid w:val="00BF3959"/>
    <w:rsid w:val="00BF6F71"/>
    <w:rsid w:val="00BF7F4C"/>
    <w:rsid w:val="00C0063F"/>
    <w:rsid w:val="00C00800"/>
    <w:rsid w:val="00C024A9"/>
    <w:rsid w:val="00C05909"/>
    <w:rsid w:val="00C10C72"/>
    <w:rsid w:val="00C12B0B"/>
    <w:rsid w:val="00C12DE0"/>
    <w:rsid w:val="00C1328A"/>
    <w:rsid w:val="00C14737"/>
    <w:rsid w:val="00C161C3"/>
    <w:rsid w:val="00C16676"/>
    <w:rsid w:val="00C16DEA"/>
    <w:rsid w:val="00C170B5"/>
    <w:rsid w:val="00C17161"/>
    <w:rsid w:val="00C17B4B"/>
    <w:rsid w:val="00C20D67"/>
    <w:rsid w:val="00C2243F"/>
    <w:rsid w:val="00C23505"/>
    <w:rsid w:val="00C239D2"/>
    <w:rsid w:val="00C2552C"/>
    <w:rsid w:val="00C26980"/>
    <w:rsid w:val="00C26ACA"/>
    <w:rsid w:val="00C27514"/>
    <w:rsid w:val="00C36995"/>
    <w:rsid w:val="00C40252"/>
    <w:rsid w:val="00C408FE"/>
    <w:rsid w:val="00C43F36"/>
    <w:rsid w:val="00C4474F"/>
    <w:rsid w:val="00C45675"/>
    <w:rsid w:val="00C45B3F"/>
    <w:rsid w:val="00C47449"/>
    <w:rsid w:val="00C50726"/>
    <w:rsid w:val="00C52E28"/>
    <w:rsid w:val="00C567D1"/>
    <w:rsid w:val="00C5744B"/>
    <w:rsid w:val="00C57474"/>
    <w:rsid w:val="00C57E3B"/>
    <w:rsid w:val="00C61D77"/>
    <w:rsid w:val="00C63A6E"/>
    <w:rsid w:val="00C67D40"/>
    <w:rsid w:val="00C721A5"/>
    <w:rsid w:val="00C73FEC"/>
    <w:rsid w:val="00C74357"/>
    <w:rsid w:val="00C77932"/>
    <w:rsid w:val="00C80B79"/>
    <w:rsid w:val="00C81D05"/>
    <w:rsid w:val="00C82103"/>
    <w:rsid w:val="00C84B62"/>
    <w:rsid w:val="00C84BBC"/>
    <w:rsid w:val="00C85E75"/>
    <w:rsid w:val="00C86860"/>
    <w:rsid w:val="00C87F69"/>
    <w:rsid w:val="00C9098D"/>
    <w:rsid w:val="00C9207A"/>
    <w:rsid w:val="00C95E8D"/>
    <w:rsid w:val="00C966EB"/>
    <w:rsid w:val="00C9754B"/>
    <w:rsid w:val="00C975EF"/>
    <w:rsid w:val="00CA01C8"/>
    <w:rsid w:val="00CA34DB"/>
    <w:rsid w:val="00CA3680"/>
    <w:rsid w:val="00CA57B7"/>
    <w:rsid w:val="00CA7208"/>
    <w:rsid w:val="00CB0539"/>
    <w:rsid w:val="00CB142A"/>
    <w:rsid w:val="00CB1836"/>
    <w:rsid w:val="00CB3F84"/>
    <w:rsid w:val="00CB56FE"/>
    <w:rsid w:val="00CB6E77"/>
    <w:rsid w:val="00CB78AA"/>
    <w:rsid w:val="00CC3226"/>
    <w:rsid w:val="00CC5F17"/>
    <w:rsid w:val="00CC6D21"/>
    <w:rsid w:val="00CC6F14"/>
    <w:rsid w:val="00CC712E"/>
    <w:rsid w:val="00CC76B4"/>
    <w:rsid w:val="00CD02F2"/>
    <w:rsid w:val="00CD0B8E"/>
    <w:rsid w:val="00CD3C09"/>
    <w:rsid w:val="00CD4D19"/>
    <w:rsid w:val="00CD55B2"/>
    <w:rsid w:val="00CD584B"/>
    <w:rsid w:val="00CD6DD0"/>
    <w:rsid w:val="00CD7797"/>
    <w:rsid w:val="00CE05DE"/>
    <w:rsid w:val="00CE3647"/>
    <w:rsid w:val="00CE3A8C"/>
    <w:rsid w:val="00CE5A4E"/>
    <w:rsid w:val="00CF00D6"/>
    <w:rsid w:val="00CF2A73"/>
    <w:rsid w:val="00CF3B64"/>
    <w:rsid w:val="00CF3F87"/>
    <w:rsid w:val="00CF5374"/>
    <w:rsid w:val="00CF5C32"/>
    <w:rsid w:val="00CF70C5"/>
    <w:rsid w:val="00D020E4"/>
    <w:rsid w:val="00D022C2"/>
    <w:rsid w:val="00D16F18"/>
    <w:rsid w:val="00D226C9"/>
    <w:rsid w:val="00D23D02"/>
    <w:rsid w:val="00D25C11"/>
    <w:rsid w:val="00D27B3D"/>
    <w:rsid w:val="00D30287"/>
    <w:rsid w:val="00D330C1"/>
    <w:rsid w:val="00D356E6"/>
    <w:rsid w:val="00D35ACE"/>
    <w:rsid w:val="00D36C57"/>
    <w:rsid w:val="00D376C5"/>
    <w:rsid w:val="00D37D71"/>
    <w:rsid w:val="00D41929"/>
    <w:rsid w:val="00D41F68"/>
    <w:rsid w:val="00D460E9"/>
    <w:rsid w:val="00D51411"/>
    <w:rsid w:val="00D60231"/>
    <w:rsid w:val="00D740C4"/>
    <w:rsid w:val="00D74543"/>
    <w:rsid w:val="00D74AEF"/>
    <w:rsid w:val="00D7543E"/>
    <w:rsid w:val="00D759B1"/>
    <w:rsid w:val="00D76129"/>
    <w:rsid w:val="00D763C2"/>
    <w:rsid w:val="00D828F9"/>
    <w:rsid w:val="00D8331F"/>
    <w:rsid w:val="00D857F4"/>
    <w:rsid w:val="00D85C0F"/>
    <w:rsid w:val="00D872FF"/>
    <w:rsid w:val="00D87CAF"/>
    <w:rsid w:val="00D90274"/>
    <w:rsid w:val="00D9409D"/>
    <w:rsid w:val="00D948B6"/>
    <w:rsid w:val="00D96319"/>
    <w:rsid w:val="00DA4601"/>
    <w:rsid w:val="00DA7673"/>
    <w:rsid w:val="00DB4536"/>
    <w:rsid w:val="00DB6769"/>
    <w:rsid w:val="00DC21C7"/>
    <w:rsid w:val="00DC263B"/>
    <w:rsid w:val="00DD3B56"/>
    <w:rsid w:val="00DD7B9C"/>
    <w:rsid w:val="00DE0287"/>
    <w:rsid w:val="00DE0D5B"/>
    <w:rsid w:val="00DE12E5"/>
    <w:rsid w:val="00DE7DA9"/>
    <w:rsid w:val="00DF1D3C"/>
    <w:rsid w:val="00DF5D49"/>
    <w:rsid w:val="00DF6E53"/>
    <w:rsid w:val="00E008F0"/>
    <w:rsid w:val="00E02207"/>
    <w:rsid w:val="00E0344D"/>
    <w:rsid w:val="00E03930"/>
    <w:rsid w:val="00E043FE"/>
    <w:rsid w:val="00E04D45"/>
    <w:rsid w:val="00E12341"/>
    <w:rsid w:val="00E149D9"/>
    <w:rsid w:val="00E238A5"/>
    <w:rsid w:val="00E278D6"/>
    <w:rsid w:val="00E30012"/>
    <w:rsid w:val="00E334AF"/>
    <w:rsid w:val="00E3400F"/>
    <w:rsid w:val="00E340F1"/>
    <w:rsid w:val="00E36239"/>
    <w:rsid w:val="00E4378E"/>
    <w:rsid w:val="00E43B2E"/>
    <w:rsid w:val="00E443F5"/>
    <w:rsid w:val="00E47B87"/>
    <w:rsid w:val="00E47F4A"/>
    <w:rsid w:val="00E50585"/>
    <w:rsid w:val="00E53847"/>
    <w:rsid w:val="00E547A9"/>
    <w:rsid w:val="00E55843"/>
    <w:rsid w:val="00E56648"/>
    <w:rsid w:val="00E5669D"/>
    <w:rsid w:val="00E60467"/>
    <w:rsid w:val="00E60D0C"/>
    <w:rsid w:val="00E60DE7"/>
    <w:rsid w:val="00E626A9"/>
    <w:rsid w:val="00E6315E"/>
    <w:rsid w:val="00E633BB"/>
    <w:rsid w:val="00E650BF"/>
    <w:rsid w:val="00E67BE3"/>
    <w:rsid w:val="00E67D6C"/>
    <w:rsid w:val="00E71742"/>
    <w:rsid w:val="00E7411F"/>
    <w:rsid w:val="00E75D6A"/>
    <w:rsid w:val="00E7613B"/>
    <w:rsid w:val="00E768D4"/>
    <w:rsid w:val="00E77658"/>
    <w:rsid w:val="00E77EEA"/>
    <w:rsid w:val="00E80586"/>
    <w:rsid w:val="00E82EA3"/>
    <w:rsid w:val="00E83790"/>
    <w:rsid w:val="00E87F3E"/>
    <w:rsid w:val="00E931A6"/>
    <w:rsid w:val="00E967E4"/>
    <w:rsid w:val="00E978A2"/>
    <w:rsid w:val="00EA04D8"/>
    <w:rsid w:val="00EA3028"/>
    <w:rsid w:val="00EA47FD"/>
    <w:rsid w:val="00EA48FE"/>
    <w:rsid w:val="00EA6A3D"/>
    <w:rsid w:val="00EB0F35"/>
    <w:rsid w:val="00EB191E"/>
    <w:rsid w:val="00EB2E95"/>
    <w:rsid w:val="00EC119F"/>
    <w:rsid w:val="00EC3F43"/>
    <w:rsid w:val="00EC4475"/>
    <w:rsid w:val="00EC704D"/>
    <w:rsid w:val="00ED3060"/>
    <w:rsid w:val="00ED373F"/>
    <w:rsid w:val="00ED643B"/>
    <w:rsid w:val="00EE072D"/>
    <w:rsid w:val="00EE2ADD"/>
    <w:rsid w:val="00EE30D2"/>
    <w:rsid w:val="00EE3620"/>
    <w:rsid w:val="00EE5F7B"/>
    <w:rsid w:val="00EF12F3"/>
    <w:rsid w:val="00EF5450"/>
    <w:rsid w:val="00EF60EB"/>
    <w:rsid w:val="00EF675D"/>
    <w:rsid w:val="00F0007C"/>
    <w:rsid w:val="00F00324"/>
    <w:rsid w:val="00F03A4A"/>
    <w:rsid w:val="00F05684"/>
    <w:rsid w:val="00F05CE5"/>
    <w:rsid w:val="00F07342"/>
    <w:rsid w:val="00F07A8D"/>
    <w:rsid w:val="00F10384"/>
    <w:rsid w:val="00F12112"/>
    <w:rsid w:val="00F26DED"/>
    <w:rsid w:val="00F300F0"/>
    <w:rsid w:val="00F3223E"/>
    <w:rsid w:val="00F334A0"/>
    <w:rsid w:val="00F36321"/>
    <w:rsid w:val="00F41902"/>
    <w:rsid w:val="00F442EA"/>
    <w:rsid w:val="00F44E1D"/>
    <w:rsid w:val="00F466D2"/>
    <w:rsid w:val="00F469D6"/>
    <w:rsid w:val="00F55933"/>
    <w:rsid w:val="00F56DCF"/>
    <w:rsid w:val="00F609A1"/>
    <w:rsid w:val="00F61519"/>
    <w:rsid w:val="00F617AA"/>
    <w:rsid w:val="00F62AEF"/>
    <w:rsid w:val="00F66814"/>
    <w:rsid w:val="00F66A8D"/>
    <w:rsid w:val="00F70547"/>
    <w:rsid w:val="00F71692"/>
    <w:rsid w:val="00F74B4A"/>
    <w:rsid w:val="00F75C6D"/>
    <w:rsid w:val="00F75CA1"/>
    <w:rsid w:val="00F77304"/>
    <w:rsid w:val="00F77C75"/>
    <w:rsid w:val="00F77FC9"/>
    <w:rsid w:val="00F83587"/>
    <w:rsid w:val="00F835B1"/>
    <w:rsid w:val="00F86E87"/>
    <w:rsid w:val="00F87F00"/>
    <w:rsid w:val="00FA22E9"/>
    <w:rsid w:val="00FA30E6"/>
    <w:rsid w:val="00FA4D09"/>
    <w:rsid w:val="00FB0129"/>
    <w:rsid w:val="00FB205B"/>
    <w:rsid w:val="00FB2D44"/>
    <w:rsid w:val="00FB57B2"/>
    <w:rsid w:val="00FC3777"/>
    <w:rsid w:val="00FD42D0"/>
    <w:rsid w:val="00FD472D"/>
    <w:rsid w:val="00FD5749"/>
    <w:rsid w:val="00FD5F3B"/>
    <w:rsid w:val="00FD62EC"/>
    <w:rsid w:val="00FE22D7"/>
    <w:rsid w:val="00FE6162"/>
    <w:rsid w:val="00FE6F17"/>
    <w:rsid w:val="00FE7AFB"/>
    <w:rsid w:val="00FF13EE"/>
    <w:rsid w:val="00FF2A87"/>
    <w:rsid w:val="00FF5E5B"/>
    <w:rsid w:val="00FF6598"/>
    <w:rsid w:val="00FF66B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xmlns:o="urn:schemas-microsoft-com:office:office" xmlns:v="urn:schemas-microsoft-com:vml" spidmax="18433" v:ext="edit"/>
    <o:shapelayout xmlns:o="urn:schemas-microsoft-com:office:office" xmlns:v="urn:schemas-microsoft-com:vml" v:ext="edit">
      <o:idmap data="1" v:ext="edit"/>
    </o:shapelayout>
  </w:shapeDefaults>
  <w:decimalSymbol w:val="."/>
  <w:listSeparator w:val=","/>
  <w14:docId w14:val="53CC1B3A"/>
  <w15:docId w15:val="{51FDAD66-4ADF-46B6-8BC3-680CA3A476E0}"/>
</w:settings>
</file>

<file path=word/styles.xml><?xml version="1.0" encoding="utf-8"?>
<w:styl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docDefaults>
    <w:rPrDefault>
      <w:rPr>
        <w:rFonts w:asciiTheme="minorHAnsi" w:hAnsiTheme="minorHAnsi" w:eastAsiaTheme="minorEastAsia" w:cstheme="minorBidi"/>
        <w:sz w:val="24"/>
        <w:szCs w:val="24"/>
        <w:lang w:val="en-AU" w:eastAsia="en-US" w:bidi="ar-SA"/>
      </w:rPr>
    </w:rPrDefault>
    <w:pPrDefault/>
  </w:docDefaults>
  <w:latentStyles w:defLockedState="false" w:defUIPriority="99" w:defSemiHidden="false" w:defUnhideWhenUsed="false" w:defQFormat="false" w:count="371">
    <w:lsdException w:name="Normal" w:uiPriority="0"/>
    <w:lsdException w:name="heading 1" w:uiPriority="9" w:qFormat="true"/>
    <w:lsdException w:name="heading 2" w:uiPriority="0" w:semiHidden="true" w:unhideWhenUsed="true" w:qFormat="true"/>
    <w:lsdException w:name="heading 3" w:uiPriority="0" w:semiHidden="true" w:unhideWhenUsed="true" w:qFormat="true"/>
    <w:lsdException w:name="heading 4" w:uiPriority="0" w:semiHidden="true" w:unhideWhenUsed="true" w:qFormat="true"/>
    <w:lsdException w:name="heading 5" w:uiPriority="9" w:semiHidden="true" w:unhideWhenUsed="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qFormat="true"/>
    <w:lsdException w:name="toc 2" w:uiPriority="39" w:semiHidden="true" w:unhideWhenUsed="true" w:qFormat="true"/>
    <w:lsdException w:name="toc 3" w:uiPriority="39" w:semiHidden="true" w:unhideWhenUsed="true" w:qFormat="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qFormat="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qFormat="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0"/>
    <w:lsdException w:name="Emphasis" w:uiPriority="0"/>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uiPriority="0"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0" w:qFormat="true"/>
    <w:lsdException w:name="Bibliography" w:uiPriority="37" w:semiHidden="true" w:unhideWhenUsed="true"/>
    <w:lsdException w:name="TOC Heading" w:uiPriority="39" w:semiHidden="true" w:unhideWhenUsed="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true">
    <w:name w:val="Normal"/>
    <w:rsid w:val="00B3662B"/>
  </w:style>
  <w:style w:type="paragraph" w:styleId="Heading1">
    <w:name w:val="heading 1"/>
    <w:basedOn w:val="AHeading"/>
    <w:next w:val="Normal"/>
    <w:link w:val="Heading1Char"/>
    <w:uiPriority w:val="9"/>
    <w:qFormat/>
    <w:rsid w:val="00B3662B"/>
    <w:pPr>
      <w:spacing w:after="120"/>
      <w:outlineLvl w:val="0"/>
    </w:pPr>
    <w:rPr>
      <w:rFonts w:cs="Times New Roman"/>
    </w:rPr>
  </w:style>
  <w:style w:type="paragraph" w:styleId="Heading2">
    <w:name w:val="heading 2"/>
    <w:basedOn w:val="BodyTextSpaceAfter"/>
    <w:next w:val="Normal"/>
    <w:link w:val="Heading2Char"/>
    <w:unhideWhenUsed/>
    <w:qFormat/>
    <w:rsid w:val="00F0007C"/>
    <w:pPr>
      <w:spacing w:after="120"/>
      <w:outlineLvl w:val="1"/>
    </w:pPr>
    <w:rPr>
      <w:rFonts w:ascii="Roboto Condensed" w:hAnsi="Roboto Condensed"/>
      <w:color w:val="7CBAC0"/>
      <w:sz w:val="32"/>
      <w:szCs w:val="26"/>
    </w:rPr>
  </w:style>
  <w:style w:type="paragraph" w:styleId="Heading3">
    <w:name w:val="heading 3"/>
    <w:basedOn w:val="BHeading"/>
    <w:next w:val="Normal"/>
    <w:link w:val="Heading3Char"/>
    <w:unhideWhenUsed/>
    <w:qFormat/>
    <w:rsid w:val="00F0007C"/>
    <w:pPr>
      <w:outlineLvl w:val="2"/>
    </w:pPr>
    <w:rPr>
      <w:rFonts w:ascii="Roboto Light" w:hAnsi="Roboto Light"/>
      <w:color w:val="808080" w:themeColor="background1" w:themeShade="80"/>
    </w:rPr>
  </w:style>
  <w:style w:type="paragraph" w:styleId="Heading4">
    <w:name w:val="heading 4"/>
    <w:basedOn w:val="BodyTextSpaceAfter"/>
    <w:next w:val="Normal"/>
    <w:link w:val="Heading4Char"/>
    <w:unhideWhenUsed/>
    <w:qFormat/>
    <w:rsid w:val="00F0007C"/>
    <w:pPr>
      <w:spacing w:after="120"/>
      <w:outlineLvl w:val="3"/>
    </w:pPr>
    <w:rPr>
      <w:rFonts w:ascii="Roboto Condensed" w:hAnsi="Roboto Condensed"/>
      <w:b/>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Header">
    <w:name w:val="header"/>
    <w:basedOn w:val="Normal"/>
    <w:link w:val="HeaderChar"/>
    <w:uiPriority w:val="99"/>
    <w:unhideWhenUsed/>
    <w:rsid w:val="00B52D7E"/>
    <w:pPr>
      <w:tabs>
        <w:tab w:val="center" w:pos="4320"/>
        <w:tab w:val="right" w:pos="8640"/>
      </w:tabs>
    </w:pPr>
  </w:style>
  <w:style w:type="character" w:styleId="HeaderChar" w:customStyle="true">
    <w:name w:val="Header Char"/>
    <w:basedOn w:val="DefaultParagraphFont"/>
    <w:link w:val="Header"/>
    <w:uiPriority w:val="99"/>
    <w:rsid w:val="00B52D7E"/>
  </w:style>
  <w:style w:type="paragraph" w:styleId="Footer">
    <w:name w:val="footer"/>
    <w:basedOn w:val="FooterPublicationStyle"/>
    <w:link w:val="FooterChar"/>
    <w:uiPriority w:val="99"/>
    <w:unhideWhenUsed/>
    <w:qFormat/>
    <w:rsid w:val="00BE199A"/>
    <w:rPr>
      <w:color w:val="808080" w:themeColor="background1" w:themeShade="80"/>
    </w:rPr>
  </w:style>
  <w:style w:type="character" w:styleId="FooterChar" w:customStyle="true">
    <w:name w:val="Footer Char"/>
    <w:basedOn w:val="DefaultParagraphFont"/>
    <w:link w:val="Footer"/>
    <w:uiPriority w:val="99"/>
    <w:rsid w:val="00BE199A"/>
    <w:rPr>
      <w:rFonts w:ascii="TradeGothic" w:hAnsi="TradeGothic" w:cs="TradeGothic"/>
      <w:color w:val="808080" w:themeColor="background1" w:themeShade="80"/>
      <w:sz w:val="21"/>
      <w:szCs w:val="21"/>
      <w:lang w:val="en-GB"/>
    </w:rPr>
  </w:style>
  <w:style w:type="paragraph" w:styleId="BalloonText">
    <w:name w:val="Balloon Text"/>
    <w:basedOn w:val="Normal"/>
    <w:link w:val="BalloonTextChar"/>
    <w:uiPriority w:val="99"/>
    <w:semiHidden/>
    <w:unhideWhenUsed/>
    <w:rsid w:val="00B52D7E"/>
    <w:rPr>
      <w:rFonts w:ascii="Lucida Grande" w:hAnsi="Lucida Grande"/>
      <w:sz w:val="18"/>
      <w:szCs w:val="18"/>
    </w:rPr>
  </w:style>
  <w:style w:type="character" w:styleId="BalloonTextChar" w:customStyle="true">
    <w:name w:val="Balloon Text Char"/>
    <w:basedOn w:val="DefaultParagraphFont"/>
    <w:link w:val="BalloonText"/>
    <w:uiPriority w:val="99"/>
    <w:semiHidden/>
    <w:rsid w:val="00B52D7E"/>
    <w:rPr>
      <w:rFonts w:ascii="Lucida Grande" w:hAnsi="Lucida Grande"/>
      <w:sz w:val="18"/>
      <w:szCs w:val="18"/>
    </w:rPr>
  </w:style>
  <w:style w:type="paragraph" w:styleId="CoverHeading" w:customStyle="true">
    <w:name w:val="Cover Heading"/>
    <w:basedOn w:val="Normal"/>
    <w:link w:val="CoverHeadingChar"/>
    <w:uiPriority w:val="99"/>
    <w:rsid w:val="00B52D7E"/>
    <w:pPr>
      <w:widowControl w:val="false"/>
      <w:autoSpaceDE w:val="false"/>
      <w:autoSpaceDN w:val="false"/>
      <w:adjustRightInd w:val="false"/>
      <w:spacing w:after="57" w:line="288" w:lineRule="auto"/>
      <w:textAlignment w:val="center"/>
    </w:pPr>
    <w:rPr>
      <w:rFonts w:ascii="Typestar-Normal" w:hAnsi="Typestar-Normal" w:cs="Typestar-Normal"/>
      <w:color w:val="000000"/>
      <w:spacing w:val="-4"/>
      <w:sz w:val="44"/>
      <w:szCs w:val="44"/>
      <w:lang w:val="en-GB"/>
    </w:rPr>
  </w:style>
  <w:style w:type="paragraph" w:styleId="CoverSubheading" w:customStyle="true">
    <w:name w:val="Cover Subheading"/>
    <w:basedOn w:val="Normal"/>
    <w:link w:val="CoverSubheadingChar"/>
    <w:uiPriority w:val="99"/>
    <w:rsid w:val="00B52D7E"/>
    <w:pPr>
      <w:widowControl w:val="false"/>
      <w:autoSpaceDE w:val="false"/>
      <w:autoSpaceDN w:val="false"/>
      <w:adjustRightInd w:val="false"/>
      <w:spacing w:after="113" w:line="288" w:lineRule="auto"/>
      <w:textAlignment w:val="center"/>
    </w:pPr>
    <w:rPr>
      <w:rFonts w:ascii="Typestar-Normal" w:hAnsi="Typestar-Normal" w:cs="Typestar-Normal"/>
      <w:color w:val="000000"/>
      <w:sz w:val="32"/>
      <w:szCs w:val="32"/>
      <w:lang w:val="en-GB"/>
    </w:rPr>
  </w:style>
  <w:style w:type="paragraph" w:styleId="FooterChapterHeading" w:customStyle="true">
    <w:name w:val="Footer Chapter Heading"/>
    <w:basedOn w:val="Normal"/>
    <w:uiPriority w:val="99"/>
    <w:rsid w:val="007E42BE"/>
    <w:pPr>
      <w:widowControl w:val="false"/>
      <w:suppressAutoHyphens/>
      <w:autoSpaceDE w:val="false"/>
      <w:autoSpaceDN w:val="false"/>
      <w:adjustRightInd w:val="false"/>
      <w:spacing w:after="227" w:line="250" w:lineRule="atLeast"/>
      <w:textAlignment w:val="center"/>
    </w:pPr>
    <w:rPr>
      <w:rFonts w:ascii="TradeGothic" w:hAnsi="TradeGothic" w:cs="TradeGothic"/>
      <w:color w:val="000000"/>
      <w:sz w:val="21"/>
      <w:szCs w:val="21"/>
      <w:lang w:val="en-GB"/>
    </w:rPr>
  </w:style>
  <w:style w:type="character" w:styleId="PageNumber">
    <w:name w:val="page number"/>
    <w:basedOn w:val="DefaultParagraphFont"/>
    <w:uiPriority w:val="99"/>
    <w:semiHidden/>
    <w:unhideWhenUsed/>
    <w:rsid w:val="007E42BE"/>
  </w:style>
  <w:style w:type="paragraph" w:styleId="FooterPublicationStyle" w:customStyle="true">
    <w:name w:val="Footer Publication Style"/>
    <w:basedOn w:val="Normal"/>
    <w:uiPriority w:val="99"/>
    <w:rsid w:val="00B848F0"/>
    <w:pPr>
      <w:widowControl w:val="false"/>
      <w:suppressAutoHyphens/>
      <w:autoSpaceDE w:val="false"/>
      <w:autoSpaceDN w:val="false"/>
      <w:adjustRightInd w:val="false"/>
      <w:spacing w:after="227" w:line="250" w:lineRule="atLeast"/>
      <w:jc w:val="right"/>
      <w:textAlignment w:val="center"/>
    </w:pPr>
    <w:rPr>
      <w:rFonts w:ascii="TradeGothic" w:hAnsi="TradeGothic" w:cs="TradeGothic"/>
      <w:color w:val="000000"/>
      <w:sz w:val="21"/>
      <w:szCs w:val="21"/>
      <w:lang w:val="en-GB"/>
    </w:rPr>
  </w:style>
  <w:style w:type="paragraph" w:styleId="ContentsChapterHeading" w:customStyle="true">
    <w:name w:val="Contents Chapter Heading"/>
    <w:basedOn w:val="Normal"/>
    <w:link w:val="ContentsChapterHeadingChar"/>
    <w:uiPriority w:val="99"/>
    <w:rsid w:val="00612EB8"/>
    <w:pPr>
      <w:widowControl w:val="false"/>
      <w:tabs>
        <w:tab w:val="right" w:pos="9620"/>
      </w:tabs>
      <w:suppressAutoHyphens/>
      <w:autoSpaceDE w:val="false"/>
      <w:autoSpaceDN w:val="false"/>
      <w:adjustRightInd w:val="false"/>
      <w:spacing w:after="57" w:line="250" w:lineRule="atLeast"/>
      <w:textAlignment w:val="center"/>
    </w:pPr>
    <w:rPr>
      <w:rFonts w:ascii="TradeGothic-Bold" w:hAnsi="TradeGothic-Bold" w:cs="TradeGothic-Bold"/>
      <w:bCs/>
      <w:color w:val="000000"/>
      <w:sz w:val="22"/>
      <w:szCs w:val="22"/>
      <w:lang w:val="en-GB"/>
    </w:rPr>
  </w:style>
  <w:style w:type="paragraph" w:styleId="ContentsText" w:customStyle="true">
    <w:name w:val="Contents Text"/>
    <w:basedOn w:val="Normal"/>
    <w:link w:val="ContentsTextChar"/>
    <w:uiPriority w:val="99"/>
    <w:rsid w:val="00612EB8"/>
    <w:pPr>
      <w:widowControl w:val="false"/>
      <w:tabs>
        <w:tab w:val="right" w:pos="9620"/>
      </w:tabs>
      <w:suppressAutoHyphens/>
      <w:autoSpaceDE w:val="false"/>
      <w:autoSpaceDN w:val="false"/>
      <w:adjustRightInd w:val="false"/>
      <w:spacing w:after="57" w:line="250" w:lineRule="atLeast"/>
      <w:textAlignment w:val="center"/>
    </w:pPr>
    <w:rPr>
      <w:rFonts w:ascii="TradeGothic-Light" w:hAnsi="TradeGothic-Light" w:cs="TradeGothic-Light"/>
      <w:color w:val="000000"/>
      <w:sz w:val="21"/>
      <w:szCs w:val="21"/>
      <w:lang w:val="en-GB"/>
    </w:rPr>
  </w:style>
  <w:style w:type="paragraph" w:styleId="ContentsTextSpaceAfter" w:customStyle="true">
    <w:name w:val="Contents Text Space After"/>
    <w:basedOn w:val="Normal"/>
    <w:uiPriority w:val="99"/>
    <w:rsid w:val="00612EB8"/>
    <w:pPr>
      <w:widowControl w:val="false"/>
      <w:tabs>
        <w:tab w:val="right" w:pos="9620"/>
      </w:tabs>
      <w:suppressAutoHyphens/>
      <w:autoSpaceDE w:val="false"/>
      <w:autoSpaceDN w:val="false"/>
      <w:adjustRightInd w:val="false"/>
      <w:spacing w:after="397" w:line="250" w:lineRule="atLeast"/>
      <w:textAlignment w:val="center"/>
    </w:pPr>
    <w:rPr>
      <w:rFonts w:ascii="TradeGothic-Light" w:hAnsi="TradeGothic-Light" w:cs="TradeGothic-Light"/>
      <w:color w:val="000000"/>
      <w:sz w:val="21"/>
      <w:szCs w:val="21"/>
      <w:lang w:val="en-GB"/>
    </w:rPr>
  </w:style>
  <w:style w:type="paragraph" w:styleId="AHeading" w:customStyle="true">
    <w:name w:val="A Heading"/>
    <w:basedOn w:val="Normal"/>
    <w:uiPriority w:val="99"/>
    <w:rsid w:val="004E6B24"/>
    <w:pPr>
      <w:widowControl w:val="false"/>
      <w:suppressAutoHyphens/>
      <w:autoSpaceDE w:val="false"/>
      <w:autoSpaceDN w:val="false"/>
      <w:adjustRightInd w:val="false"/>
      <w:spacing w:after="57" w:line="400" w:lineRule="atLeast"/>
      <w:textAlignment w:val="center"/>
    </w:pPr>
    <w:rPr>
      <w:rFonts w:ascii="Typestar-Normal" w:hAnsi="Typestar-Normal" w:cs="TypestarBlack"/>
      <w:b/>
      <w:bCs/>
      <w:color w:val="0C344A"/>
      <w:sz w:val="36"/>
      <w:szCs w:val="36"/>
      <w:lang w:val="en-GB"/>
    </w:rPr>
  </w:style>
  <w:style w:type="paragraph" w:styleId="BodyTextSpaceAfter" w:customStyle="true">
    <w:name w:val="Body Text Space After"/>
    <w:basedOn w:val="Normal"/>
    <w:link w:val="BodyTextSpaceAfterChar"/>
    <w:qFormat/>
    <w:rsid w:val="00B3662B"/>
    <w:pPr>
      <w:widowControl w:val="false"/>
      <w:suppressAutoHyphens/>
      <w:autoSpaceDE w:val="false"/>
      <w:autoSpaceDN w:val="false"/>
      <w:adjustRightInd w:val="false"/>
      <w:spacing w:after="227" w:line="250" w:lineRule="atLeast"/>
      <w:textAlignment w:val="center"/>
    </w:pPr>
    <w:rPr>
      <w:rFonts w:ascii="Roboto Condensed Light" w:hAnsi="Roboto Condensed Light" w:cs="TradeGothic-Light"/>
      <w:color w:val="000000"/>
      <w:sz w:val="22"/>
      <w:szCs w:val="22"/>
      <w:lang w:val="en-GB"/>
    </w:rPr>
  </w:style>
  <w:style w:type="paragraph" w:styleId="BHeading" w:customStyle="true">
    <w:name w:val="B Heading"/>
    <w:basedOn w:val="BodyTextSpaceAfter"/>
    <w:link w:val="BHeadingChar"/>
    <w:uiPriority w:val="99"/>
    <w:rsid w:val="004E6B24"/>
    <w:pPr>
      <w:spacing w:before="170" w:after="57" w:line="300" w:lineRule="atLeast"/>
    </w:pPr>
    <w:rPr>
      <w:rFonts w:ascii="TradeGothic-Bold" w:hAnsi="TradeGothic-Bold" w:cs="TradeGothic-Bold"/>
      <w:color w:val="7CBAC0"/>
      <w:sz w:val="26"/>
      <w:szCs w:val="26"/>
    </w:rPr>
  </w:style>
  <w:style w:type="paragraph" w:styleId="CHeading" w:customStyle="true">
    <w:name w:val="C Heading"/>
    <w:basedOn w:val="BHeading"/>
    <w:link w:val="CHeadingChar"/>
    <w:uiPriority w:val="99"/>
    <w:rsid w:val="0097574E"/>
    <w:pPr>
      <w:spacing w:line="260" w:lineRule="atLeast"/>
    </w:pPr>
    <w:rPr>
      <w:color w:val="000000"/>
      <w:sz w:val="22"/>
      <w:szCs w:val="22"/>
    </w:rPr>
  </w:style>
  <w:style w:type="paragraph" w:styleId="Footnote" w:customStyle="true">
    <w:name w:val="Footnote"/>
    <w:basedOn w:val="BodyTextSpaceAfter"/>
    <w:uiPriority w:val="99"/>
    <w:qFormat/>
    <w:rsid w:val="00616993"/>
    <w:pPr>
      <w:tabs>
        <w:tab w:val="left" w:pos="283"/>
      </w:tabs>
      <w:spacing w:after="40" w:line="190" w:lineRule="atLeast"/>
      <w:ind w:left="284" w:hanging="284"/>
    </w:pPr>
    <w:rPr>
      <w:rFonts w:ascii="Roboto Light" w:hAnsi="Roboto Light"/>
      <w:sz w:val="17"/>
      <w:szCs w:val="17"/>
    </w:rPr>
  </w:style>
  <w:style w:type="character" w:styleId="Bold" w:customStyle="true">
    <w:name w:val="Bold"/>
    <w:uiPriority w:val="99"/>
    <w:rsid w:val="00035E41"/>
    <w:rPr>
      <w:rFonts w:ascii="TradeGothic Bold" w:hAnsi="TradeGothic Bold"/>
      <w:b w:val="false"/>
      <w:bCs w:val="false"/>
      <w:i w:val="false"/>
      <w:iCs w:val="false"/>
      <w:caps w:val="false"/>
      <w:smallCaps w:val="false"/>
      <w:strike w:val="false"/>
      <w:dstrike w:val="false"/>
      <w:vanish w:val="false"/>
      <w:color w:val="000000"/>
      <w:u w:val="none"/>
      <w:vertAlign w:val="baseline"/>
    </w:rPr>
  </w:style>
  <w:style w:type="paragraph" w:styleId="DHeading" w:customStyle="true">
    <w:name w:val="D Heading"/>
    <w:basedOn w:val="CHeading"/>
    <w:uiPriority w:val="99"/>
    <w:rsid w:val="0039578B"/>
    <w:pPr>
      <w:spacing w:line="250" w:lineRule="atLeast"/>
    </w:pPr>
    <w:rPr>
      <w:rFonts w:ascii="TradeGothic-BoldOblique" w:hAnsi="TradeGothic-BoldOblique" w:cs="TradeGothic-BoldOblique"/>
      <w:color w:val="4C4C4C"/>
      <w:sz w:val="21"/>
      <w:szCs w:val="21"/>
    </w:rPr>
  </w:style>
  <w:style w:type="paragraph" w:styleId="BodyText">
    <w:name w:val="Body Text"/>
    <w:aliases w:val="Body - No spacing"/>
    <w:basedOn w:val="BodyTextSpaceAfter"/>
    <w:link w:val="BodyTextChar"/>
    <w:uiPriority w:val="99"/>
    <w:qFormat/>
    <w:rsid w:val="002774D7"/>
    <w:pPr>
      <w:spacing w:after="57"/>
    </w:pPr>
  </w:style>
  <w:style w:type="character" w:styleId="BodyTextChar" w:customStyle="true">
    <w:name w:val="Body Text Char"/>
    <w:aliases w:val="Body - No spacing Char"/>
    <w:basedOn w:val="DefaultParagraphFont"/>
    <w:link w:val="BodyText"/>
    <w:uiPriority w:val="99"/>
    <w:rsid w:val="002774D7"/>
    <w:rPr>
      <w:rFonts w:ascii="TradeGothic-Light" w:hAnsi="TradeGothic-Light" w:cs="TradeGothic-Light"/>
      <w:color w:val="000000"/>
      <w:sz w:val="21"/>
      <w:szCs w:val="21"/>
      <w:lang w:val="en-GB"/>
    </w:rPr>
  </w:style>
  <w:style w:type="paragraph" w:styleId="BulletText" w:customStyle="true">
    <w:name w:val="Bullet Text"/>
    <w:basedOn w:val="BodyTextSpaceAfter"/>
    <w:uiPriority w:val="99"/>
    <w:qFormat/>
    <w:rsid w:val="002774D7"/>
    <w:pPr>
      <w:tabs>
        <w:tab w:val="left" w:pos="283"/>
      </w:tabs>
      <w:spacing w:after="57"/>
      <w:ind w:left="283" w:hanging="283"/>
    </w:pPr>
  </w:style>
  <w:style w:type="paragraph" w:styleId="BulletTextSpaceAfter" w:customStyle="true">
    <w:name w:val="Bullet Text Space After"/>
    <w:basedOn w:val="BodyTextSpaceAfter"/>
    <w:uiPriority w:val="99"/>
    <w:rsid w:val="002774D7"/>
    <w:pPr>
      <w:tabs>
        <w:tab w:val="left" w:pos="283"/>
      </w:tabs>
      <w:ind w:left="283" w:hanging="283"/>
    </w:pPr>
  </w:style>
  <w:style w:type="character" w:styleId="BoldItalic" w:customStyle="true">
    <w:name w:val="Bold Italic"/>
    <w:uiPriority w:val="99"/>
    <w:rsid w:val="002774D7"/>
    <w:rPr>
      <w:b/>
      <w:bCs/>
      <w:i/>
      <w:iCs/>
    </w:rPr>
  </w:style>
  <w:style w:type="character" w:styleId="SubtleReference">
    <w:name w:val="Subtle Reference"/>
    <w:basedOn w:val="DefaultParagraphFont"/>
    <w:uiPriority w:val="31"/>
    <w:rsid w:val="00F469D6"/>
    <w:rPr>
      <w:smallCaps/>
      <w:color w:val="5A5A5A" w:themeColor="text1" w:themeTint="A5"/>
    </w:rPr>
  </w:style>
  <w:style w:type="character" w:styleId="BookTitle">
    <w:name w:val="Book Title"/>
    <w:qFormat/>
    <w:rsid w:val="00F469D6"/>
    <w:rPr>
      <w:rFonts w:ascii="Typestar Black" w:hAnsi="Typestar Black"/>
      <w:color w:val="000000" w:themeColor="text1"/>
    </w:rPr>
  </w:style>
  <w:style w:type="paragraph" w:styleId="PublicationDate" w:customStyle="true">
    <w:name w:val="Publication Date"/>
    <w:basedOn w:val="CoverSubheading"/>
    <w:link w:val="PublicationDateChar"/>
    <w:rsid w:val="00B3662B"/>
    <w:rPr>
      <w:rFonts w:ascii="Typestar Black" w:hAnsi="Typestar Black"/>
      <w:color w:val="4C4C4C"/>
    </w:rPr>
  </w:style>
  <w:style w:type="paragraph" w:styleId="Publicationtitle" w:customStyle="true">
    <w:name w:val="Publication title"/>
    <w:basedOn w:val="CoverHeading"/>
    <w:link w:val="PublicationtitleChar"/>
    <w:rsid w:val="00B3662B"/>
  </w:style>
  <w:style w:type="character" w:styleId="CoverSubheadingChar" w:customStyle="true">
    <w:name w:val="Cover Subheading Char"/>
    <w:basedOn w:val="DefaultParagraphFont"/>
    <w:link w:val="CoverSubheading"/>
    <w:uiPriority w:val="99"/>
    <w:rsid w:val="00B3662B"/>
    <w:rPr>
      <w:rFonts w:ascii="Typestar-Normal" w:hAnsi="Typestar-Normal" w:cs="Typestar-Normal"/>
      <w:color w:val="000000"/>
      <w:sz w:val="32"/>
      <w:szCs w:val="32"/>
      <w:lang w:val="en-GB"/>
    </w:rPr>
  </w:style>
  <w:style w:type="character" w:styleId="PublicationDateChar" w:customStyle="true">
    <w:name w:val="Publication Date Char"/>
    <w:basedOn w:val="CoverSubheadingChar"/>
    <w:link w:val="PublicationDate"/>
    <w:rsid w:val="00B3662B"/>
    <w:rPr>
      <w:rFonts w:ascii="Typestar Black" w:hAnsi="Typestar Black" w:cs="Typestar-Normal"/>
      <w:color w:val="4C4C4C"/>
      <w:sz w:val="32"/>
      <w:szCs w:val="32"/>
      <w:lang w:val="en-GB"/>
    </w:rPr>
  </w:style>
  <w:style w:type="paragraph" w:styleId="Imprintpage" w:customStyle="true">
    <w:name w:val="Imprint page"/>
    <w:basedOn w:val="BodyTextSpaceAfter"/>
    <w:link w:val="ImprintpageChar"/>
    <w:qFormat/>
    <w:rsid w:val="00B3662B"/>
    <w:rPr>
      <w:rFonts w:ascii="Roboto Condensed" w:hAnsi="Roboto Condensed"/>
    </w:rPr>
  </w:style>
  <w:style w:type="character" w:styleId="CoverHeadingChar" w:customStyle="true">
    <w:name w:val="Cover Heading Char"/>
    <w:basedOn w:val="DefaultParagraphFont"/>
    <w:link w:val="CoverHeading"/>
    <w:uiPriority w:val="99"/>
    <w:rsid w:val="00B3662B"/>
    <w:rPr>
      <w:rFonts w:ascii="Typestar-Normal" w:hAnsi="Typestar-Normal" w:cs="Typestar-Normal"/>
      <w:color w:val="000000"/>
      <w:spacing w:val="-4"/>
      <w:sz w:val="44"/>
      <w:szCs w:val="44"/>
      <w:lang w:val="en-GB"/>
    </w:rPr>
  </w:style>
  <w:style w:type="character" w:styleId="PublicationtitleChar" w:customStyle="true">
    <w:name w:val="Publication title Char"/>
    <w:basedOn w:val="CoverHeadingChar"/>
    <w:link w:val="Publicationtitle"/>
    <w:rsid w:val="00B3662B"/>
    <w:rPr>
      <w:rFonts w:ascii="Typestar-Normal" w:hAnsi="Typestar-Normal" w:cs="Typestar-Normal"/>
      <w:color w:val="000000"/>
      <w:spacing w:val="-4"/>
      <w:sz w:val="44"/>
      <w:szCs w:val="44"/>
      <w:lang w:val="en-GB"/>
    </w:rPr>
  </w:style>
  <w:style w:type="character" w:styleId="Heading1Char" w:customStyle="true">
    <w:name w:val="Heading 1 Char"/>
    <w:basedOn w:val="DefaultParagraphFont"/>
    <w:link w:val="Heading1"/>
    <w:uiPriority w:val="9"/>
    <w:rsid w:val="00B3662B"/>
    <w:rPr>
      <w:rFonts w:ascii="Typestar-Normal" w:hAnsi="Typestar-Normal" w:cs="Times New Roman"/>
      <w:b/>
      <w:bCs/>
      <w:color w:val="0C344A"/>
      <w:sz w:val="36"/>
      <w:szCs w:val="36"/>
      <w:lang w:val="en-GB"/>
    </w:rPr>
  </w:style>
  <w:style w:type="character" w:styleId="BodyTextSpaceAfterChar" w:customStyle="true">
    <w:name w:val="Body Text Space After Char"/>
    <w:basedOn w:val="DefaultParagraphFont"/>
    <w:link w:val="BodyTextSpaceAfter"/>
    <w:rsid w:val="00B3662B"/>
    <w:rPr>
      <w:rFonts w:ascii="Roboto Condensed Light" w:hAnsi="Roboto Condensed Light" w:cs="TradeGothic-Light"/>
      <w:color w:val="000000"/>
      <w:sz w:val="22"/>
      <w:szCs w:val="22"/>
      <w:lang w:val="en-GB"/>
    </w:rPr>
  </w:style>
  <w:style w:type="character" w:styleId="ImprintpageChar" w:customStyle="true">
    <w:name w:val="Imprint page Char"/>
    <w:basedOn w:val="BodyTextSpaceAfterChar"/>
    <w:link w:val="Imprintpage"/>
    <w:rsid w:val="00B3662B"/>
    <w:rPr>
      <w:rFonts w:ascii="Roboto Condensed" w:hAnsi="Roboto Condensed" w:cs="TradeGothic-Light"/>
      <w:color w:val="000000"/>
      <w:sz w:val="22"/>
      <w:szCs w:val="22"/>
      <w:lang w:val="en-GB"/>
    </w:rPr>
  </w:style>
  <w:style w:type="paragraph" w:styleId="Contents" w:customStyle="true">
    <w:name w:val="Contents"/>
    <w:basedOn w:val="ContentsText"/>
    <w:link w:val="ContentsChar"/>
    <w:qFormat/>
    <w:rsid w:val="00B3662B"/>
    <w:rPr>
      <w:rFonts w:ascii="Roboto Condensed" w:hAnsi="Roboto Condensed"/>
    </w:rPr>
  </w:style>
  <w:style w:type="paragraph" w:styleId="Contentssubheading" w:customStyle="true">
    <w:name w:val="Contents subheading"/>
    <w:basedOn w:val="ContentsChapterHeading"/>
    <w:link w:val="ContentssubheadingChar"/>
    <w:qFormat/>
    <w:rsid w:val="00B3662B"/>
    <w:rPr>
      <w:rFonts w:ascii="Roboto Condensed" w:hAnsi="Roboto Condensed"/>
      <w:sz w:val="26"/>
      <w:szCs w:val="26"/>
    </w:rPr>
  </w:style>
  <w:style w:type="character" w:styleId="ContentsTextChar" w:customStyle="true">
    <w:name w:val="Contents Text Char"/>
    <w:basedOn w:val="DefaultParagraphFont"/>
    <w:link w:val="ContentsText"/>
    <w:uiPriority w:val="99"/>
    <w:rsid w:val="00B3662B"/>
    <w:rPr>
      <w:rFonts w:ascii="TradeGothic-Light" w:hAnsi="TradeGothic-Light" w:cs="TradeGothic-Light"/>
      <w:color w:val="000000"/>
      <w:sz w:val="21"/>
      <w:szCs w:val="21"/>
      <w:lang w:val="en-GB"/>
    </w:rPr>
  </w:style>
  <w:style w:type="character" w:styleId="ContentsChar" w:customStyle="true">
    <w:name w:val="Contents Char"/>
    <w:basedOn w:val="ContentsTextChar"/>
    <w:link w:val="Contents"/>
    <w:rsid w:val="00B3662B"/>
    <w:rPr>
      <w:rFonts w:ascii="Roboto Condensed" w:hAnsi="Roboto Condensed" w:cs="TradeGothic-Light"/>
      <w:color w:val="000000"/>
      <w:sz w:val="21"/>
      <w:szCs w:val="21"/>
      <w:lang w:val="en-GB"/>
    </w:rPr>
  </w:style>
  <w:style w:type="character" w:styleId="Heading2Char" w:customStyle="true">
    <w:name w:val="Heading 2 Char"/>
    <w:basedOn w:val="DefaultParagraphFont"/>
    <w:link w:val="Heading2"/>
    <w:uiPriority w:val="9"/>
    <w:rsid w:val="00F0007C"/>
    <w:rPr>
      <w:rFonts w:ascii="Roboto Condensed" w:hAnsi="Roboto Condensed" w:cs="TradeGothic-Light"/>
      <w:color w:val="7CBAC0"/>
      <w:sz w:val="32"/>
      <w:szCs w:val="26"/>
      <w:lang w:val="en-GB"/>
    </w:rPr>
  </w:style>
  <w:style w:type="character" w:styleId="ContentsChapterHeadingChar" w:customStyle="true">
    <w:name w:val="Contents Chapter Heading Char"/>
    <w:basedOn w:val="DefaultParagraphFont"/>
    <w:link w:val="ContentsChapterHeading"/>
    <w:uiPriority w:val="99"/>
    <w:rsid w:val="00B3662B"/>
    <w:rPr>
      <w:rFonts w:ascii="TradeGothic-Bold" w:hAnsi="TradeGothic-Bold" w:cs="TradeGothic-Bold"/>
      <w:bCs/>
      <w:color w:val="000000"/>
      <w:sz w:val="22"/>
      <w:szCs w:val="22"/>
      <w:lang w:val="en-GB"/>
    </w:rPr>
  </w:style>
  <w:style w:type="character" w:styleId="ContentssubheadingChar" w:customStyle="true">
    <w:name w:val="Contents subheading Char"/>
    <w:basedOn w:val="ContentsChapterHeadingChar"/>
    <w:link w:val="Contentssubheading"/>
    <w:rsid w:val="00B3662B"/>
    <w:rPr>
      <w:rFonts w:ascii="Roboto Condensed" w:hAnsi="Roboto Condensed" w:cs="TradeGothic-Bold"/>
      <w:bCs/>
      <w:color w:val="000000"/>
      <w:sz w:val="26"/>
      <w:szCs w:val="26"/>
      <w:lang w:val="en-GB"/>
    </w:rPr>
  </w:style>
  <w:style w:type="character" w:styleId="Heading3Char" w:customStyle="true">
    <w:name w:val="Heading 3 Char"/>
    <w:basedOn w:val="DefaultParagraphFont"/>
    <w:link w:val="Heading3"/>
    <w:uiPriority w:val="9"/>
    <w:rsid w:val="00F0007C"/>
    <w:rPr>
      <w:rFonts w:ascii="Roboto Light" w:hAnsi="Roboto Light" w:cs="TradeGothic-Bold"/>
      <w:color w:val="808080" w:themeColor="background1" w:themeShade="80"/>
      <w:sz w:val="26"/>
      <w:szCs w:val="26"/>
      <w:lang w:val="en-GB"/>
    </w:rPr>
  </w:style>
  <w:style w:type="paragraph" w:styleId="TableHeading" w:customStyle="true">
    <w:name w:val="Table Heading"/>
    <w:basedOn w:val="CHeading"/>
    <w:link w:val="TableHeadingChar"/>
    <w:qFormat/>
    <w:rsid w:val="00F0007C"/>
    <w:pPr>
      <w:keepNext/>
    </w:pPr>
    <w:rPr>
      <w:rFonts w:ascii="TradeGothic" w:hAnsi="TradeGothic"/>
      <w:sz w:val="20"/>
    </w:rPr>
  </w:style>
  <w:style w:type="character" w:styleId="BHeadingChar" w:customStyle="true">
    <w:name w:val="B Heading Char"/>
    <w:basedOn w:val="BodyTextSpaceAfterChar"/>
    <w:link w:val="BHeading"/>
    <w:uiPriority w:val="99"/>
    <w:rsid w:val="00B3662B"/>
    <w:rPr>
      <w:rFonts w:ascii="TradeGothic-Bold" w:hAnsi="TradeGothic-Bold" w:cs="TradeGothic-Bold"/>
      <w:color w:val="7CBAC0"/>
      <w:sz w:val="26"/>
      <w:szCs w:val="26"/>
      <w:lang w:val="en-GB"/>
    </w:rPr>
  </w:style>
  <w:style w:type="character" w:styleId="CHeadingChar" w:customStyle="true">
    <w:name w:val="C Heading Char"/>
    <w:basedOn w:val="BHeadingChar"/>
    <w:link w:val="CHeading"/>
    <w:uiPriority w:val="99"/>
    <w:rsid w:val="00B3662B"/>
    <w:rPr>
      <w:rFonts w:ascii="TradeGothic-Bold" w:hAnsi="TradeGothic-Bold" w:cs="TradeGothic-Bold"/>
      <w:color w:val="000000"/>
      <w:sz w:val="22"/>
      <w:szCs w:val="22"/>
      <w:lang w:val="en-GB"/>
    </w:rPr>
  </w:style>
  <w:style w:type="character" w:styleId="TableHeadingChar" w:customStyle="true">
    <w:name w:val="Table Heading Char"/>
    <w:basedOn w:val="CHeadingChar"/>
    <w:link w:val="TableHeading"/>
    <w:rsid w:val="00F0007C"/>
    <w:rPr>
      <w:rFonts w:ascii="TradeGothic" w:hAnsi="TradeGothic" w:cs="TradeGothic-Bold"/>
      <w:color w:val="000000"/>
      <w:sz w:val="20"/>
      <w:szCs w:val="22"/>
      <w:lang w:val="en-GB"/>
    </w:rPr>
  </w:style>
  <w:style w:type="character" w:styleId="Heading4Char" w:customStyle="true">
    <w:name w:val="Heading 4 Char"/>
    <w:basedOn w:val="DefaultParagraphFont"/>
    <w:link w:val="Heading4"/>
    <w:uiPriority w:val="9"/>
    <w:rsid w:val="00F0007C"/>
    <w:rPr>
      <w:rFonts w:ascii="Roboto Condensed" w:hAnsi="Roboto Condensed" w:cs="TradeGothic-Light"/>
      <w:b/>
      <w:color w:val="000000"/>
      <w:sz w:val="22"/>
      <w:szCs w:val="22"/>
      <w:lang w:val="en-GB"/>
    </w:rPr>
  </w:style>
  <w:style w:type="paragraph" w:styleId="FootnoteText">
    <w:name w:val="footnote text"/>
    <w:basedOn w:val="Normal"/>
    <w:link w:val="FootnoteTextChar"/>
    <w:uiPriority w:val="99"/>
    <w:semiHidden/>
    <w:unhideWhenUsed/>
    <w:rsid w:val="009832F2"/>
    <w:rPr>
      <w:sz w:val="20"/>
      <w:szCs w:val="20"/>
    </w:rPr>
  </w:style>
  <w:style w:type="character" w:styleId="FootnoteTextChar" w:customStyle="true">
    <w:name w:val="Footnote Text Char"/>
    <w:basedOn w:val="DefaultParagraphFont"/>
    <w:link w:val="FootnoteText"/>
    <w:uiPriority w:val="99"/>
    <w:semiHidden/>
    <w:rsid w:val="009832F2"/>
    <w:rPr>
      <w:sz w:val="20"/>
      <w:szCs w:val="20"/>
    </w:rPr>
  </w:style>
  <w:style w:type="character" w:styleId="FootnoteReference">
    <w:name w:val="footnote reference"/>
    <w:basedOn w:val="DefaultParagraphFont"/>
    <w:uiPriority w:val="99"/>
    <w:semiHidden/>
    <w:unhideWhenUsed/>
    <w:rsid w:val="009832F2"/>
    <w:rPr>
      <w:vertAlign w:val="superscript"/>
    </w:rPr>
  </w:style>
  <w:style w:type="paragraph" w:styleId="Spacer" w:customStyle="true">
    <w:name w:val="Spacer"/>
    <w:basedOn w:val="BHeading"/>
    <w:link w:val="SpacerChar"/>
    <w:qFormat/>
    <w:rsid w:val="009832F2"/>
    <w:pPr>
      <w:spacing w:before="0" w:after="0" w:line="240" w:lineRule="auto"/>
    </w:pPr>
    <w:rPr>
      <w:color w:val="FFFFFF" w:themeColor="background1"/>
      <w:sz w:val="16"/>
      <w:szCs w:val="16"/>
    </w:rPr>
  </w:style>
  <w:style w:type="character" w:styleId="PlaceholderText">
    <w:name w:val="Placeholder Text"/>
    <w:basedOn w:val="DefaultParagraphFont"/>
    <w:uiPriority w:val="99"/>
    <w:semiHidden/>
    <w:rsid w:val="00500B88"/>
    <w:rPr>
      <w:color w:val="808080"/>
    </w:rPr>
  </w:style>
  <w:style w:type="character" w:styleId="SpacerChar" w:customStyle="true">
    <w:name w:val="Spacer Char"/>
    <w:basedOn w:val="BHeadingChar"/>
    <w:link w:val="Spacer"/>
    <w:rsid w:val="009832F2"/>
    <w:rPr>
      <w:rFonts w:ascii="TradeGothic-Bold" w:hAnsi="TradeGothic-Bold" w:cs="TradeGothic-Bold"/>
      <w:color w:val="FFFFFF" w:themeColor="background1"/>
      <w:sz w:val="16"/>
      <w:szCs w:val="16"/>
      <w:lang w:val="en-GB"/>
    </w:rPr>
  </w:style>
  <w:style w:type="paragraph" w:styleId="TOCHeading">
    <w:name w:val="TOC Heading"/>
    <w:basedOn w:val="Heading1"/>
    <w:next w:val="Normal"/>
    <w:uiPriority w:val="39"/>
    <w:unhideWhenUsed/>
    <w:rsid w:val="00F835B1"/>
    <w:pPr>
      <w:keepNext/>
      <w:keepLines/>
      <w:widowControl/>
      <w:suppressAutoHyphens w:val="false"/>
      <w:autoSpaceDE/>
      <w:autoSpaceDN/>
      <w:adjustRightInd/>
      <w:spacing w:before="240" w:after="0" w:line="259" w:lineRule="auto"/>
      <w:textAlignment w:val="auto"/>
      <w:outlineLvl w:val="9"/>
    </w:pPr>
    <w:rPr>
      <w:rFonts w:asciiTheme="majorHAnsi" w:hAnsiTheme="majorHAnsi" w:eastAsiaTheme="majorEastAsia" w:cstheme="majorBidi"/>
      <w:b w:val="false"/>
      <w:bCs w:val="false"/>
      <w:color w:val="365F91" w:themeColor="accent1" w:themeShade="BF"/>
      <w:sz w:val="32"/>
      <w:szCs w:val="32"/>
      <w:lang w:val="en-US"/>
    </w:rPr>
  </w:style>
  <w:style w:type="paragraph" w:styleId="TOC1">
    <w:name w:val="toc 1"/>
    <w:basedOn w:val="Normal"/>
    <w:next w:val="Normal"/>
    <w:autoRedefine/>
    <w:uiPriority w:val="39"/>
    <w:unhideWhenUsed/>
    <w:qFormat/>
    <w:rsid w:val="00AB7CE6"/>
    <w:pPr>
      <w:spacing w:after="120"/>
    </w:pPr>
    <w:rPr>
      <w:rFonts w:ascii="Roboto Condensed" w:hAnsi="Roboto Condensed"/>
    </w:rPr>
  </w:style>
  <w:style w:type="paragraph" w:styleId="TOC2">
    <w:name w:val="toc 2"/>
    <w:basedOn w:val="Normal"/>
    <w:next w:val="Normal"/>
    <w:autoRedefine/>
    <w:uiPriority w:val="39"/>
    <w:unhideWhenUsed/>
    <w:qFormat/>
    <w:rsid w:val="00AB7CE6"/>
    <w:pPr>
      <w:spacing w:after="100"/>
      <w:ind w:left="240"/>
    </w:pPr>
    <w:rPr>
      <w:rFonts w:ascii="Roboto Condensed" w:hAnsi="Roboto Condensed"/>
      <w:sz w:val="21"/>
    </w:rPr>
  </w:style>
  <w:style w:type="paragraph" w:styleId="TOC3">
    <w:name w:val="toc 3"/>
    <w:basedOn w:val="Normal"/>
    <w:next w:val="Normal"/>
    <w:autoRedefine/>
    <w:uiPriority w:val="39"/>
    <w:unhideWhenUsed/>
    <w:qFormat/>
    <w:rsid w:val="00AB7CE6"/>
    <w:pPr>
      <w:spacing w:after="100"/>
      <w:ind w:left="480"/>
    </w:pPr>
    <w:rPr>
      <w:rFonts w:ascii="TradeGothic" w:hAnsi="TradeGothic"/>
      <w:sz w:val="21"/>
    </w:rPr>
  </w:style>
  <w:style w:type="character" w:styleId="Hyperlink">
    <w:name w:val="Hyperlink"/>
    <w:basedOn w:val="DefaultParagraphFont"/>
    <w:uiPriority w:val="99"/>
    <w:unhideWhenUsed/>
    <w:rsid w:val="00F835B1"/>
    <w:rPr>
      <w:color w:val="0000FF" w:themeColor="hyperlink"/>
      <w:u w:val="single"/>
    </w:rPr>
  </w:style>
  <w:style w:type="table" w:styleId="MediumGrid2-Accent2">
    <w:name w:val="Medium Grid 2 Accent 2"/>
    <w:basedOn w:val="TableNormal"/>
    <w:uiPriority w:val="68"/>
    <w:rsid w:val="00C966EB"/>
    <w:rPr>
      <w:rFonts w:asciiTheme="majorHAnsi" w:hAnsiTheme="majorHAnsi" w:eastAsiaTheme="majorEastAsia" w:cstheme="majorBidi"/>
      <w:color w:val="000000" w:themeColor="text1"/>
      <w:sz w:val="22"/>
      <w:szCs w:val="22"/>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false"/>
        <w:bCs w:val="false"/>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color="C0504D" w:themeColor="accent2" w:sz="6" w:space="0"/>
          <w:insideV w:val="single" w:color="C0504D" w:themeColor="accent2" w:sz="6" w:space="0"/>
        </w:tcBorders>
        <w:shd w:val="clear" w:color="auto" w:fill="DFA7A6" w:themeFill="accent2" w:themeFillTint="7F"/>
      </w:tcPr>
    </w:tblStylePr>
    <w:tblStylePr w:type="nwCell">
      <w:tblPr/>
      <w:tcPr>
        <w:shd w:val="clear" w:color="auto" w:fill="FFFFFF" w:themeFill="background1"/>
      </w:tcPr>
    </w:tblStylePr>
  </w:style>
  <w:style w:type="paragraph" w:styleId="Table" w:customStyle="true">
    <w:name w:val="Table"/>
    <w:basedOn w:val="Heading4"/>
    <w:link w:val="TableChar"/>
    <w:autoRedefine/>
    <w:qFormat/>
    <w:rsid w:val="005329DD"/>
    <w:pPr>
      <w:keepNext/>
      <w:outlineLvl w:val="9"/>
    </w:pPr>
    <w:rPr>
      <w:rFonts w:ascii="Roboto Condensed Light" w:hAnsi="Roboto Condensed Light" w:eastAsiaTheme="majorEastAsia"/>
    </w:rPr>
  </w:style>
  <w:style w:type="character" w:styleId="TableChar" w:customStyle="true">
    <w:name w:val="Table Char"/>
    <w:basedOn w:val="DefaultParagraphFont"/>
    <w:link w:val="Table"/>
    <w:rsid w:val="005329DD"/>
    <w:rPr>
      <w:rFonts w:ascii="Roboto Condensed Light" w:hAnsi="Roboto Condensed Light" w:cs="TradeGothic-Light" w:eastAsiaTheme="majorEastAsia"/>
      <w:b/>
      <w:color w:val="000000"/>
      <w:sz w:val="22"/>
      <w:szCs w:val="22"/>
      <w:lang w:val="en-GB"/>
    </w:rPr>
  </w:style>
  <w:style w:type="paragraph" w:styleId="NoSpacing">
    <w:name w:val="No Spacing"/>
    <w:uiPriority w:val="1"/>
    <w:qFormat/>
    <w:rsid w:val="00C966EB"/>
    <w:rPr>
      <w:rFonts w:eastAsiaTheme="minorHAnsi"/>
    </w:rPr>
  </w:style>
  <w:style w:type="character" w:styleId="Strong">
    <w:name w:val="Strong"/>
    <w:basedOn w:val="DefaultParagraphFont"/>
    <w:rsid w:val="008E5B5A"/>
    <w:rPr>
      <w:b/>
      <w:bCs/>
    </w:rPr>
  </w:style>
  <w:style w:type="character" w:styleId="Emphasis">
    <w:name w:val="Emphasis"/>
    <w:basedOn w:val="DefaultParagraphFont"/>
    <w:rsid w:val="008E5B5A"/>
    <w:rPr>
      <w:i/>
      <w:iCs/>
    </w:rPr>
  </w:style>
  <w:style w:type="character" w:styleId="apple-converted-space" w:customStyle="true">
    <w:name w:val="apple-converted-space"/>
    <w:basedOn w:val="DefaultParagraphFont"/>
    <w:rsid w:val="008E5B5A"/>
  </w:style>
  <w:style w:type="table" w:styleId="TableGrid">
    <w:name w:val="Table Grid"/>
    <w:basedOn w:val="TableNormal"/>
    <w:uiPriority w:val="59"/>
    <w:rsid w:val="008E5B5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rsid w:val="008E5B5A"/>
    <w:pPr>
      <w:spacing w:before="100" w:beforeAutospacing="true" w:after="100" w:afterAutospacing="true"/>
    </w:pPr>
    <w:rPr>
      <w:rFonts w:ascii="Times New Roman" w:hAnsi="Times New Roman" w:eastAsia="Times New Roman" w:cs="Times New Roman"/>
      <w:lang w:eastAsia="en-AU"/>
    </w:rPr>
  </w:style>
  <w:style w:type="paragraph" w:styleId="TOC4">
    <w:name w:val="toc 4"/>
    <w:basedOn w:val="Normal"/>
    <w:next w:val="Normal"/>
    <w:autoRedefine/>
    <w:uiPriority w:val="39"/>
    <w:unhideWhenUsed/>
    <w:rsid w:val="00FF6598"/>
    <w:pPr>
      <w:spacing w:after="100" w:line="259" w:lineRule="auto"/>
      <w:ind w:left="660"/>
    </w:pPr>
    <w:rPr>
      <w:sz w:val="22"/>
      <w:szCs w:val="22"/>
      <w:lang w:eastAsia="en-AU"/>
    </w:rPr>
  </w:style>
  <w:style w:type="paragraph" w:styleId="TOC5">
    <w:name w:val="toc 5"/>
    <w:basedOn w:val="Normal"/>
    <w:next w:val="Normal"/>
    <w:autoRedefine/>
    <w:uiPriority w:val="39"/>
    <w:unhideWhenUsed/>
    <w:rsid w:val="00FF6598"/>
    <w:pPr>
      <w:spacing w:after="100" w:line="259" w:lineRule="auto"/>
      <w:ind w:left="880"/>
    </w:pPr>
    <w:rPr>
      <w:sz w:val="22"/>
      <w:szCs w:val="22"/>
      <w:lang w:eastAsia="en-AU"/>
    </w:rPr>
  </w:style>
  <w:style w:type="paragraph" w:styleId="TOC6">
    <w:name w:val="toc 6"/>
    <w:basedOn w:val="Normal"/>
    <w:next w:val="Normal"/>
    <w:autoRedefine/>
    <w:uiPriority w:val="39"/>
    <w:unhideWhenUsed/>
    <w:rsid w:val="00FF6598"/>
    <w:pPr>
      <w:spacing w:after="100" w:line="259" w:lineRule="auto"/>
      <w:ind w:left="1100"/>
    </w:pPr>
    <w:rPr>
      <w:sz w:val="22"/>
      <w:szCs w:val="22"/>
      <w:lang w:eastAsia="en-AU"/>
    </w:rPr>
  </w:style>
  <w:style w:type="paragraph" w:styleId="TOC7">
    <w:name w:val="toc 7"/>
    <w:basedOn w:val="Normal"/>
    <w:next w:val="Normal"/>
    <w:autoRedefine/>
    <w:uiPriority w:val="39"/>
    <w:unhideWhenUsed/>
    <w:rsid w:val="00FF6598"/>
    <w:pPr>
      <w:spacing w:after="100" w:line="259" w:lineRule="auto"/>
      <w:ind w:left="1320"/>
    </w:pPr>
    <w:rPr>
      <w:sz w:val="22"/>
      <w:szCs w:val="22"/>
      <w:lang w:eastAsia="en-AU"/>
    </w:rPr>
  </w:style>
  <w:style w:type="paragraph" w:styleId="TOC8">
    <w:name w:val="toc 8"/>
    <w:basedOn w:val="Normal"/>
    <w:next w:val="Normal"/>
    <w:autoRedefine/>
    <w:uiPriority w:val="39"/>
    <w:unhideWhenUsed/>
    <w:rsid w:val="00FF6598"/>
    <w:pPr>
      <w:spacing w:after="100" w:line="259" w:lineRule="auto"/>
      <w:ind w:left="1540"/>
    </w:pPr>
    <w:rPr>
      <w:sz w:val="22"/>
      <w:szCs w:val="22"/>
      <w:lang w:eastAsia="en-AU"/>
    </w:rPr>
  </w:style>
  <w:style w:type="paragraph" w:styleId="TOC9">
    <w:name w:val="toc 9"/>
    <w:basedOn w:val="Normal"/>
    <w:next w:val="Normal"/>
    <w:autoRedefine/>
    <w:uiPriority w:val="39"/>
    <w:unhideWhenUsed/>
    <w:rsid w:val="00FF6598"/>
    <w:pPr>
      <w:spacing w:after="100" w:line="259" w:lineRule="auto"/>
      <w:ind w:left="1760"/>
    </w:pPr>
    <w:rPr>
      <w:sz w:val="22"/>
      <w:szCs w:val="22"/>
      <w:lang w:eastAsia="en-AU"/>
    </w:rPr>
  </w:style>
  <w:style w:type="character" w:styleId="CommentReference">
    <w:name w:val="annotation reference"/>
    <w:basedOn w:val="DefaultParagraphFont"/>
    <w:uiPriority w:val="99"/>
    <w:semiHidden/>
    <w:unhideWhenUsed/>
    <w:rsid w:val="00F56DCF"/>
    <w:rPr>
      <w:sz w:val="16"/>
      <w:szCs w:val="16"/>
    </w:rPr>
  </w:style>
  <w:style w:type="paragraph" w:styleId="CommentText">
    <w:name w:val="annotation text"/>
    <w:basedOn w:val="Normal"/>
    <w:link w:val="CommentTextChar"/>
    <w:uiPriority w:val="99"/>
    <w:semiHidden/>
    <w:unhideWhenUsed/>
    <w:rsid w:val="00F56DCF"/>
    <w:rPr>
      <w:sz w:val="20"/>
      <w:szCs w:val="20"/>
    </w:rPr>
  </w:style>
  <w:style w:type="character" w:styleId="CommentTextChar" w:customStyle="true">
    <w:name w:val="Comment Text Char"/>
    <w:basedOn w:val="DefaultParagraphFont"/>
    <w:link w:val="CommentText"/>
    <w:uiPriority w:val="99"/>
    <w:semiHidden/>
    <w:rsid w:val="00F56DCF"/>
    <w:rPr>
      <w:sz w:val="20"/>
      <w:szCs w:val="20"/>
    </w:rPr>
  </w:style>
  <w:style w:type="paragraph" w:styleId="CommentSubject">
    <w:name w:val="annotation subject"/>
    <w:basedOn w:val="CommentText"/>
    <w:next w:val="CommentText"/>
    <w:link w:val="CommentSubjectChar"/>
    <w:uiPriority w:val="99"/>
    <w:semiHidden/>
    <w:unhideWhenUsed/>
    <w:rsid w:val="00F56DCF"/>
    <w:rPr>
      <w:b/>
      <w:bCs/>
    </w:rPr>
  </w:style>
  <w:style w:type="character" w:styleId="CommentSubjectChar" w:customStyle="true">
    <w:name w:val="Comment Subject Char"/>
    <w:basedOn w:val="CommentTextChar"/>
    <w:link w:val="CommentSubject"/>
    <w:uiPriority w:val="99"/>
    <w:semiHidden/>
    <w:rsid w:val="00F56DCF"/>
    <w:rPr>
      <w:b/>
      <w:bCs/>
      <w:sz w:val="20"/>
      <w:szCs w:val="20"/>
    </w:rPr>
  </w:style>
  <w:style w:type="paragraph" w:styleId="ListParagraph">
    <w:name w:val="List Paragraph"/>
    <w:basedOn w:val="Normal"/>
    <w:uiPriority w:val="34"/>
    <w:rsid w:val="004968FE"/>
    <w:pPr>
      <w:ind w:left="720"/>
      <w:contextualSpacing/>
    </w:pPr>
  </w:style>
  <w:style w:type="paragraph" w:styleId="Tablefootnote" w:customStyle="true">
    <w:name w:val="Table footnote"/>
    <w:basedOn w:val="Normal"/>
    <w:link w:val="TablefootnoteChar"/>
    <w:qFormat/>
    <w:rsid w:val="00402182"/>
    <w:pPr>
      <w:keepNext/>
      <w:keepLines/>
    </w:pPr>
    <w:rPr>
      <w:rFonts w:ascii="Roboto Condensed Light" w:hAnsi="Roboto Condensed Light"/>
      <w:sz w:val="20"/>
    </w:rPr>
  </w:style>
  <w:style w:type="character" w:styleId="TablefootnoteChar" w:customStyle="true">
    <w:name w:val="Table footnote Char"/>
    <w:basedOn w:val="DefaultParagraphFont"/>
    <w:link w:val="Tablefootnote"/>
    <w:rsid w:val="00402182"/>
    <w:rPr>
      <w:rFonts w:ascii="Roboto Condensed Light" w:hAnsi="Roboto Condensed Light"/>
      <w:sz w:val="20"/>
    </w:rPr>
  </w:style>
  <w:style w:type="paragraph" w:styleId="Tableheadings" w:customStyle="true">
    <w:name w:val="Table headings"/>
    <w:basedOn w:val="Normal"/>
    <w:link w:val="TableheadingsChar"/>
    <w:qFormat/>
    <w:rsid w:val="001A7C6B"/>
    <w:pPr>
      <w:jc w:val="center"/>
    </w:pPr>
    <w:rPr>
      <w:rFonts w:ascii="Roboto Condensed" w:hAnsi="Roboto Condensed" w:eastAsiaTheme="majorEastAsia" w:cstheme="majorBidi"/>
      <w:b/>
      <w:color w:val="FFFFFF" w:themeColor="background1"/>
      <w:sz w:val="20"/>
      <w:szCs w:val="20"/>
    </w:rPr>
  </w:style>
  <w:style w:type="character" w:styleId="TableheadingsChar" w:customStyle="true">
    <w:name w:val="Table headings Char"/>
    <w:basedOn w:val="DefaultParagraphFont"/>
    <w:link w:val="Tableheadings"/>
    <w:rsid w:val="001A7C6B"/>
    <w:rPr>
      <w:rFonts w:ascii="Roboto Condensed" w:hAnsi="Roboto Condensed" w:eastAsiaTheme="majorEastAsia" w:cstheme="majorBidi"/>
      <w:b/>
      <w:color w:val="FFFFFF" w:themeColor="background1"/>
      <w:sz w:val="20"/>
      <w:szCs w:val="20"/>
    </w:rPr>
  </w:style>
  <w:style w:type="paragraph" w:styleId="EndnoteText">
    <w:name w:val="endnote text"/>
    <w:basedOn w:val="Normal"/>
    <w:link w:val="EndnoteTextChar"/>
    <w:uiPriority w:val="99"/>
    <w:semiHidden/>
    <w:unhideWhenUsed/>
    <w:rsid w:val="006F088D"/>
    <w:rPr>
      <w:sz w:val="20"/>
      <w:szCs w:val="20"/>
    </w:rPr>
  </w:style>
  <w:style w:type="character" w:styleId="EndnoteTextChar" w:customStyle="true">
    <w:name w:val="Endnote Text Char"/>
    <w:basedOn w:val="DefaultParagraphFont"/>
    <w:link w:val="EndnoteText"/>
    <w:uiPriority w:val="99"/>
    <w:semiHidden/>
    <w:rsid w:val="006F088D"/>
    <w:rPr>
      <w:sz w:val="20"/>
      <w:szCs w:val="20"/>
    </w:rPr>
  </w:style>
  <w:style w:type="character" w:styleId="EndnoteReference">
    <w:name w:val="endnote reference"/>
    <w:basedOn w:val="DefaultParagraphFont"/>
    <w:uiPriority w:val="99"/>
    <w:semiHidden/>
    <w:unhideWhenUsed/>
    <w:rsid w:val="006F088D"/>
    <w:rPr>
      <w:vertAlign w:val="superscript"/>
    </w:rPr>
  </w:style>
</w:styles>
</file>

<file path=word/webSettings.xml><?xml version="1.0" encoding="utf-8"?>
<w:webSetting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divs>
    <w:div w:id="202137829">
      <w:bodyDiv w:val="true"/>
      <w:marLeft w:val="0"/>
      <w:marRight w:val="0"/>
      <w:marTop w:val="0"/>
      <w:marBottom w:val="0"/>
      <w:divBdr>
        <w:top w:val="none" w:color="auto" w:sz="0" w:space="0"/>
        <w:left w:val="none" w:color="auto" w:sz="0" w:space="0"/>
        <w:bottom w:val="none" w:color="auto" w:sz="0" w:space="0"/>
        <w:right w:val="none" w:color="auto" w:sz="0" w:space="0"/>
      </w:divBdr>
    </w:div>
    <w:div w:id="333804930">
      <w:bodyDiv w:val="true"/>
      <w:marLeft w:val="0"/>
      <w:marRight w:val="0"/>
      <w:marTop w:val="0"/>
      <w:marBottom w:val="0"/>
      <w:divBdr>
        <w:top w:val="none" w:color="auto" w:sz="0" w:space="0"/>
        <w:left w:val="none" w:color="auto" w:sz="0" w:space="0"/>
        <w:bottom w:val="none" w:color="auto" w:sz="0" w:space="0"/>
        <w:right w:val="none" w:color="auto" w:sz="0" w:space="0"/>
      </w:divBdr>
    </w:div>
    <w:div w:id="389620415">
      <w:bodyDiv w:val="true"/>
      <w:marLeft w:val="0"/>
      <w:marRight w:val="0"/>
      <w:marTop w:val="0"/>
      <w:marBottom w:val="0"/>
      <w:divBdr>
        <w:top w:val="none" w:color="auto" w:sz="0" w:space="0"/>
        <w:left w:val="none" w:color="auto" w:sz="0" w:space="0"/>
        <w:bottom w:val="none" w:color="auto" w:sz="0" w:space="0"/>
        <w:right w:val="none" w:color="auto" w:sz="0" w:space="0"/>
      </w:divBdr>
    </w:div>
    <w:div w:id="593126175">
      <w:bodyDiv w:val="true"/>
      <w:marLeft w:val="0"/>
      <w:marRight w:val="0"/>
      <w:marTop w:val="0"/>
      <w:marBottom w:val="0"/>
      <w:divBdr>
        <w:top w:val="none" w:color="auto" w:sz="0" w:space="0"/>
        <w:left w:val="none" w:color="auto" w:sz="0" w:space="0"/>
        <w:bottom w:val="none" w:color="auto" w:sz="0" w:space="0"/>
        <w:right w:val="none" w:color="auto" w:sz="0" w:space="0"/>
      </w:divBdr>
    </w:div>
    <w:div w:id="640382164">
      <w:bodyDiv w:val="true"/>
      <w:marLeft w:val="0"/>
      <w:marRight w:val="0"/>
      <w:marTop w:val="0"/>
      <w:marBottom w:val="0"/>
      <w:divBdr>
        <w:top w:val="none" w:color="auto" w:sz="0" w:space="0"/>
        <w:left w:val="none" w:color="auto" w:sz="0" w:space="0"/>
        <w:bottom w:val="none" w:color="auto" w:sz="0" w:space="0"/>
        <w:right w:val="none" w:color="auto" w:sz="0" w:space="0"/>
      </w:divBdr>
    </w:div>
    <w:div w:id="1020661087">
      <w:bodyDiv w:val="true"/>
      <w:marLeft w:val="0"/>
      <w:marRight w:val="0"/>
      <w:marTop w:val="0"/>
      <w:marBottom w:val="0"/>
      <w:divBdr>
        <w:top w:val="none" w:color="auto" w:sz="0" w:space="0"/>
        <w:left w:val="none" w:color="auto" w:sz="0" w:space="0"/>
        <w:bottom w:val="none" w:color="auto" w:sz="0" w:space="0"/>
        <w:right w:val="none" w:color="auto" w:sz="0" w:space="0"/>
      </w:divBdr>
    </w:div>
    <w:div w:id="1027561734">
      <w:bodyDiv w:val="true"/>
      <w:marLeft w:val="0"/>
      <w:marRight w:val="0"/>
      <w:marTop w:val="0"/>
      <w:marBottom w:val="0"/>
      <w:divBdr>
        <w:top w:val="none" w:color="auto" w:sz="0" w:space="0"/>
        <w:left w:val="none" w:color="auto" w:sz="0" w:space="0"/>
        <w:bottom w:val="none" w:color="auto" w:sz="0" w:space="0"/>
        <w:right w:val="none" w:color="auto" w:sz="0" w:space="0"/>
      </w:divBdr>
    </w:div>
    <w:div w:id="1054040449">
      <w:bodyDiv w:val="true"/>
      <w:marLeft w:val="0"/>
      <w:marRight w:val="0"/>
      <w:marTop w:val="0"/>
      <w:marBottom w:val="0"/>
      <w:divBdr>
        <w:top w:val="none" w:color="auto" w:sz="0" w:space="0"/>
        <w:left w:val="none" w:color="auto" w:sz="0" w:space="0"/>
        <w:bottom w:val="none" w:color="auto" w:sz="0" w:space="0"/>
        <w:right w:val="none" w:color="auto" w:sz="0" w:space="0"/>
      </w:divBdr>
    </w:div>
    <w:div w:id="1150753462">
      <w:bodyDiv w:val="true"/>
      <w:marLeft w:val="0"/>
      <w:marRight w:val="0"/>
      <w:marTop w:val="0"/>
      <w:marBottom w:val="0"/>
      <w:divBdr>
        <w:top w:val="none" w:color="auto" w:sz="0" w:space="0"/>
        <w:left w:val="none" w:color="auto" w:sz="0" w:space="0"/>
        <w:bottom w:val="none" w:color="auto" w:sz="0" w:space="0"/>
        <w:right w:val="none" w:color="auto" w:sz="0" w:space="0"/>
      </w:divBdr>
    </w:div>
    <w:div w:id="1202283179">
      <w:bodyDiv w:val="true"/>
      <w:marLeft w:val="0"/>
      <w:marRight w:val="0"/>
      <w:marTop w:val="0"/>
      <w:marBottom w:val="0"/>
      <w:divBdr>
        <w:top w:val="none" w:color="auto" w:sz="0" w:space="0"/>
        <w:left w:val="none" w:color="auto" w:sz="0" w:space="0"/>
        <w:bottom w:val="none" w:color="auto" w:sz="0" w:space="0"/>
        <w:right w:val="none" w:color="auto" w:sz="0" w:space="0"/>
      </w:divBdr>
    </w:div>
    <w:div w:id="1247378159">
      <w:bodyDiv w:val="true"/>
      <w:marLeft w:val="0"/>
      <w:marRight w:val="0"/>
      <w:marTop w:val="0"/>
      <w:marBottom w:val="0"/>
      <w:divBdr>
        <w:top w:val="none" w:color="auto" w:sz="0" w:space="0"/>
        <w:left w:val="none" w:color="auto" w:sz="0" w:space="0"/>
        <w:bottom w:val="none" w:color="auto" w:sz="0" w:space="0"/>
        <w:right w:val="none" w:color="auto" w:sz="0" w:space="0"/>
      </w:divBdr>
    </w:div>
    <w:div w:id="1517381648">
      <w:bodyDiv w:val="true"/>
      <w:marLeft w:val="0"/>
      <w:marRight w:val="0"/>
      <w:marTop w:val="0"/>
      <w:marBottom w:val="0"/>
      <w:divBdr>
        <w:top w:val="none" w:color="auto" w:sz="0" w:space="0"/>
        <w:left w:val="none" w:color="auto" w:sz="0" w:space="0"/>
        <w:bottom w:val="none" w:color="auto" w:sz="0" w:space="0"/>
        <w:right w:val="none" w:color="auto" w:sz="0" w:space="0"/>
      </w:divBdr>
    </w:div>
  </w:divs>
  <w:allowPNG/>
</w:webSettings>
</file>

<file path=word/_rels/document.xml.rels><?xml version="1.0" encoding="UTF-8"?>
<Relationships xmlns="http://schemas.openxmlformats.org/package/2006/relationships">
   <Relationship Target="footer3.xml" Type="http://schemas.openxmlformats.org/officeDocument/2006/relationships/footer" Id="rId13"/>
   <Relationship Target="footer5.xml" Type="http://schemas.openxmlformats.org/officeDocument/2006/relationships/footer" Id="rId18"/>
   <Relationship Target="charts/chart1.xml" Type="http://schemas.openxmlformats.org/officeDocument/2006/relationships/chart" Id="rId26"/>
   <Relationship Target="charts/chart9.xml" Type="http://schemas.openxmlformats.org/officeDocument/2006/relationships/chart" Id="rId39"/>
   <Relationship Target="header7.xml" Type="http://schemas.openxmlformats.org/officeDocument/2006/relationships/header" Id="rId21"/>
   <Relationship Target="header11.xml" Type="http://schemas.openxmlformats.org/officeDocument/2006/relationships/header" Id="rId34"/>
   <Relationship Target="charts/chart12.xml" Type="http://schemas.openxmlformats.org/officeDocument/2006/relationships/chart" Id="rId42"/>
   <Relationship Target="footer11.xml" Type="http://schemas.openxmlformats.org/officeDocument/2006/relationships/footer" Id="rId47"/>
   <Relationship Target="header17.xml" Type="http://schemas.openxmlformats.org/officeDocument/2006/relationships/header" Id="rId50"/>
   <Relationship Target="theme/theme1.xml" Type="http://schemas.openxmlformats.org/officeDocument/2006/relationships/theme" Id="rId55"/>
   <Relationship Target="endnotes.xml" Type="http://schemas.openxmlformats.org/officeDocument/2006/relationships/endnotes" Id="rId7"/>
   <Relationship Target="numbering.xml" Type="http://schemas.openxmlformats.org/officeDocument/2006/relationships/numbering" Id="rId2"/>
   <Relationship Target="header5.xml" Type="http://schemas.openxmlformats.org/officeDocument/2006/relationships/header" Id="rId16"/>
   <Relationship Target="charts/chart4.xml" Type="http://schemas.openxmlformats.org/officeDocument/2006/relationships/chart" Id="rId29"/>
   <Relationship Target="footer2.xml" Type="http://schemas.openxmlformats.org/officeDocument/2006/relationships/footer" Id="rId11"/>
   <Relationship Target="footer7.xml" Type="http://schemas.openxmlformats.org/officeDocument/2006/relationships/footer" Id="rId24"/>
   <Relationship Target="charts/chart7.xml" Type="http://schemas.openxmlformats.org/officeDocument/2006/relationships/chart" Id="rId32"/>
   <Relationship Target="header12.xml" Type="http://schemas.openxmlformats.org/officeDocument/2006/relationships/header" Id="rId37"/>
   <Relationship Target="charts/chart10.xml" Type="http://schemas.openxmlformats.org/officeDocument/2006/relationships/chart" Id="rId40"/>
   <Relationship Target="header14.xml" Type="http://schemas.openxmlformats.org/officeDocument/2006/relationships/header" Id="rId45"/>
   <Relationship Target="header18.xml" Type="http://schemas.openxmlformats.org/officeDocument/2006/relationships/header" Id="rId53"/>
   <Relationship Target="webSettings.xml" Type="http://schemas.openxmlformats.org/officeDocument/2006/relationships/webSettings" Id="rId5"/>
   <Relationship Target="footer1.xml" Type="http://schemas.openxmlformats.org/officeDocument/2006/relationships/footer" Id="rId10"/>
   <Relationship Target="header6.xml" Type="http://schemas.openxmlformats.org/officeDocument/2006/relationships/header" Id="rId19"/>
   <Relationship Target="charts/chart6.xml" Type="http://schemas.openxmlformats.org/officeDocument/2006/relationships/chart" Id="rId31"/>
   <Relationship Target="header13.xml" Type="http://schemas.openxmlformats.org/officeDocument/2006/relationships/header" Id="rId44"/>
   <Relationship Target="footer13.xml" Type="http://schemas.openxmlformats.org/officeDocument/2006/relationships/footer" Id="rId52"/>
   <Relationship Target="settings.xml" Type="http://schemas.openxmlformats.org/officeDocument/2006/relationships/settings" Id="rId4"/>
   <Relationship Target="header2.xml" Type="http://schemas.openxmlformats.org/officeDocument/2006/relationships/header" Id="rId9"/>
   <Relationship Target="media/image2.tif" Type="http://schemas.openxmlformats.org/officeDocument/2006/relationships/image" Id="rId14"/>
   <Relationship Target="header8.xml" Type="http://schemas.openxmlformats.org/officeDocument/2006/relationships/header" Id="rId22"/>
   <Relationship Target="charts/chart2.xml" Type="http://schemas.openxmlformats.org/officeDocument/2006/relationships/chart" Id="rId27"/>
   <Relationship Target="charts/chart5.xml" Type="http://schemas.openxmlformats.org/officeDocument/2006/relationships/chart" Id="rId30"/>
   <Relationship Target="footer8.xml" Type="http://schemas.openxmlformats.org/officeDocument/2006/relationships/footer" Id="rId35"/>
   <Relationship Target="charts/chart13.xml" Type="http://schemas.openxmlformats.org/officeDocument/2006/relationships/chart" Id="rId43"/>
   <Relationship Target="header15.xml" Type="http://schemas.openxmlformats.org/officeDocument/2006/relationships/header" Id="rId48"/>
   <Relationship Target="header1.xml" Type="http://schemas.openxmlformats.org/officeDocument/2006/relationships/header" Id="rId8"/>
   <Relationship Target="footer12.xml" Type="http://schemas.openxmlformats.org/officeDocument/2006/relationships/footer" Id="rId51"/>
   <Relationship Target="styles.xml" Type="http://schemas.openxmlformats.org/officeDocument/2006/relationships/styles" Id="rId3"/>
   <Relationship Target="header3.xml" Type="http://schemas.openxmlformats.org/officeDocument/2006/relationships/header" Id="rId12"/>
   <Relationship Target="footer4.xml" Type="http://schemas.openxmlformats.org/officeDocument/2006/relationships/footer" Id="rId17"/>
   <Relationship Target="header9.xml" Type="http://schemas.openxmlformats.org/officeDocument/2006/relationships/header" Id="rId25"/>
   <Relationship Target="header10.xml" Type="http://schemas.openxmlformats.org/officeDocument/2006/relationships/header" Id="rId33"/>
   <Relationship Target="charts/chart8.xml" Type="http://schemas.openxmlformats.org/officeDocument/2006/relationships/chart" Id="rId38"/>
   <Relationship Target="footer10.xml" Type="http://schemas.openxmlformats.org/officeDocument/2006/relationships/footer" Id="rId46"/>
   <Relationship TargetMode="External" Target="https://www.crimestatistics.vic.gov.au/about-the-data/explanatory-notes" Type="http://schemas.openxmlformats.org/officeDocument/2006/relationships/hyperlink" Id="rId20"/>
   <Relationship Target="charts/chart11.xml" Type="http://schemas.openxmlformats.org/officeDocument/2006/relationships/chart" Id="rId41"/>
   <Relationship Target="fontTable.xml" Type="http://schemas.openxmlformats.org/officeDocument/2006/relationships/fontTable" Id="rId54"/>
   <Relationship Target="../customXml/item1.xml" Type="http://schemas.openxmlformats.org/officeDocument/2006/relationships/customXml" Id="rId1"/>
   <Relationship Target="footnotes.xml" Type="http://schemas.openxmlformats.org/officeDocument/2006/relationships/footnotes" Id="rId6"/>
   <Relationship Target="header4.xml" Type="http://schemas.openxmlformats.org/officeDocument/2006/relationships/header" Id="rId15"/>
   <Relationship Target="footer6.xml" Type="http://schemas.openxmlformats.org/officeDocument/2006/relationships/footer" Id="rId23"/>
   <Relationship Target="charts/chart3.xml" Type="http://schemas.openxmlformats.org/officeDocument/2006/relationships/chart" Id="rId28"/>
   <Relationship Target="footer9.xml" Type="http://schemas.openxmlformats.org/officeDocument/2006/relationships/footer" Id="rId36"/>
   <Relationship Target="header16.xml" Type="http://schemas.openxmlformats.org/officeDocument/2006/relationships/header" Id="rId49"/>
</Relationships>

</file>

<file path=word/_rels/header16.xml.rels><?xml version="1.0" encoding="UTF-8"?>
<Relationships xmlns="http://schemas.openxmlformats.org/package/2006/relationships">
   <Relationship Target="media/image3.jpg" Type="http://schemas.openxmlformats.org/officeDocument/2006/relationships/image" Id="rId1"/>
</Relationships>

</file>

<file path=word/_rels/header3.xml.rels><?xml version="1.0" encoding="UTF-8"?>
<Relationships xmlns="http://schemas.openxmlformats.org/package/2006/relationships">
   <Relationship Target="media/image1.jpg" Type="http://schemas.openxmlformats.org/officeDocument/2006/relationships/image" Id="rId1"/>
</Relationships>

</file>

<file path=word/charts/_rels/chart1.xml.rels><?xml version="1.0" encoding="UTF-8"?>
<Relationships xmlns="http://schemas.openxmlformats.org/package/2006/relationships">
   <Relationship TargetMode="External" Target="file:///\\CSAFILE01\COMMON\02%20-%20Operations\01%20-%20Quarterly%20Cycle\2019\Q2%20-%20Jul-Jun%202019\04%20-%20Publication\Workings\Graphs%20for%20Publication%20and%20Website%20-%20year%20ending%20Jun2019.xlsx" Type="http://schemas.openxmlformats.org/officeDocument/2006/relationships/oleObject" Id="rId3"/>
   <Relationship Target="colors1.xml" Type="http://schemas.microsoft.com/office/2011/relationships/chartColorStyle" Id="rId2"/>
   <Relationship Target="style1.xml" Type="http://schemas.microsoft.com/office/2011/relationships/chartStyle" Id="rId1"/>
</Relationships>

</file>

<file path=word/charts/_rels/chart10.xml.rels><?xml version="1.0" encoding="UTF-8"?>
<Relationships xmlns="http://schemas.openxmlformats.org/package/2006/relationships">
   <Relationship TargetMode="External" Target="file:///\\CSAFILE01\COMMON\02%20-%20Operations\01%20-%20Quarterly%20Cycle\2019\Q2%20-%20Jul-Jun%202019\04%20-%20Publication\Graphs%20for%20Publication%20and%20Website%20-%20year%20ending%20Jun2019.xlsx" Type="http://schemas.openxmlformats.org/officeDocument/2006/relationships/oleObject" Id="rId3"/>
   <Relationship Target="colors8.xml" Type="http://schemas.microsoft.com/office/2011/relationships/chartColorStyle" Id="rId2"/>
   <Relationship Target="style8.xml" Type="http://schemas.microsoft.com/office/2011/relationships/chartStyle" Id="rId1"/>
</Relationships>

</file>

<file path=word/charts/_rels/chart11.xml.rels><?xml version="1.0" encoding="UTF-8"?>
<Relationships xmlns="http://schemas.openxmlformats.org/package/2006/relationships">
   <Relationship TargetMode="External" Target="file:///\\CSAFILE01\COMMON\02%20-%20Operations\01%20-%20Quarterly%20Cycle\2019\Q2%20-%20Jul-Jun%202019\04%20-%20Publication\Graphs%20for%20Publication%20and%20Website%20-%20year%20ending%20Jun2019.xlsx" Type="http://schemas.openxmlformats.org/officeDocument/2006/relationships/oleObject" Id="rId3"/>
   <Relationship Target="colors9.xml" Type="http://schemas.microsoft.com/office/2011/relationships/chartColorStyle" Id="rId2"/>
   <Relationship Target="style9.xml" Type="http://schemas.microsoft.com/office/2011/relationships/chartStyle" Id="rId1"/>
</Relationships>

</file>

<file path=word/charts/_rels/chart12.xml.rels><?xml version="1.0" encoding="UTF-8"?>
<Relationships xmlns="http://schemas.openxmlformats.org/package/2006/relationships">
   <Relationship TargetMode="External" Target="file:///\\CSAFILE01\COMMON\02%20-%20Operations\01%20-%20Quarterly%20Cycle\2019\Q2%20-%20Jul-Jun%202019\04%20-%20Publication\Graphs%20for%20Publication%20and%20Website%20-%20year%20ending%20Jun2019.xlsx" Type="http://schemas.openxmlformats.org/officeDocument/2006/relationships/oleObject" Id="rId3"/>
   <Relationship Target="colors10.xml" Type="http://schemas.microsoft.com/office/2011/relationships/chartColorStyle" Id="rId2"/>
   <Relationship Target="style10.xml" Type="http://schemas.microsoft.com/office/2011/relationships/chartStyle" Id="rId1"/>
</Relationships>

</file>

<file path=word/charts/_rels/chart13.xml.rels><?xml version="1.0" encoding="UTF-8"?>
<Relationships xmlns="http://schemas.openxmlformats.org/package/2006/relationships">
   <Relationship TargetMode="External" Target="file:///\\CSAFILE01\COMMON\02%20-%20Operations\01%20-%20Quarterly%20Cycle\2019\Q2%20-%20Jul-Jun%202019\04%20-%20Publication\Graphs%20for%20Publication%20and%20Website%20-%20year%20ending%20Jun2019.xlsx" Type="http://schemas.openxmlformats.org/officeDocument/2006/relationships/oleObject" Id="rId3"/>
   <Relationship Target="colors11.xml" Type="http://schemas.microsoft.com/office/2011/relationships/chartColorStyle" Id="rId2"/>
   <Relationship Target="style11.xml" Type="http://schemas.microsoft.com/office/2011/relationships/chartStyle" Id="rId1"/>
</Relationships>

</file>

<file path=word/charts/_rels/chart2.xml.rels><?xml version="1.0" encoding="UTF-8"?>
<Relationships xmlns="http://schemas.openxmlformats.org/package/2006/relationships">
   <Relationship TargetMode="External" Target="file:///\\CSAFILE01\COMMON\02%20-%20Operations\01%20-%20Quarterly%20Cycle\2019\Q2%20-%20Jul-Jun%202019\04%20-%20Publication\Graphs%20for%20Publication%20and%20Website%20-%20year%20ending%20Jun2019.xlsx" Type="http://schemas.openxmlformats.org/officeDocument/2006/relationships/oleObject" Id="rId1"/>
</Relationships>

</file>

<file path=word/charts/_rels/chart3.xml.rels><?xml version="1.0" encoding="UTF-8"?>
<Relationships xmlns="http://schemas.openxmlformats.org/package/2006/relationships">
   <Relationship TargetMode="External" Target="file:///\\CSAFILE01\COMMON\02%20-%20Operations\01%20-%20Quarterly%20Cycle\2019\Q2%20-%20Jul-Jun%202019\04%20-%20Publication\Graphs%20for%20Publication%20and%20Website%20-%20year%20ending%20Jun2019.xlsx" Type="http://schemas.openxmlformats.org/officeDocument/2006/relationships/oleObject" Id="rId3"/>
   <Relationship Target="colors2.xml" Type="http://schemas.microsoft.com/office/2011/relationships/chartColorStyle" Id="rId2"/>
   <Relationship Target="style2.xml" Type="http://schemas.microsoft.com/office/2011/relationships/chartStyle" Id="rId1"/>
</Relationships>

</file>

<file path=word/charts/_rels/chart4.xml.rels><?xml version="1.0" encoding="UTF-8"?>
<Relationships xmlns="http://schemas.openxmlformats.org/package/2006/relationships">
   <Relationship Target="../theme/themeOverride1.xml" Type="http://schemas.openxmlformats.org/officeDocument/2006/relationships/themeOverride" Id="rId3"/>
   <Relationship Target="colors3.xml" Type="http://schemas.microsoft.com/office/2011/relationships/chartColorStyle" Id="rId2"/>
   <Relationship Target="style3.xml" Type="http://schemas.microsoft.com/office/2011/relationships/chartStyle" Id="rId1"/>
   <Relationship TargetMode="External" Target="file:///\\CSAFILE01\COMMON\02%20-%20Operations\01%20-%20Quarterly%20Cycle\2019\Q2%20-%20Jul-Jun%202019\04%20-%20Publication\Graphs%20for%20Publication%20and%20Website%20-%20year%20ending%20Jun2019.xlsx" Type="http://schemas.openxmlformats.org/officeDocument/2006/relationships/oleObject" Id="rId4"/>
</Relationships>

</file>

<file path=word/charts/_rels/chart5.xml.rels><?xml version="1.0" encoding="UTF-8"?>
<Relationships xmlns="http://schemas.openxmlformats.org/package/2006/relationships">
   <Relationship TargetMode="External" Target="file:///\\CSAFILE01\COMMON\02%20-%20Operations\01%20-%20Quarterly%20Cycle\2019\Q2%20-%20Jul-Jun%202019\04%20-%20Publication\Graphs%20for%20Publication%20and%20Website%20-%20year%20ending%20Jun2019.xlsx" Type="http://schemas.openxmlformats.org/officeDocument/2006/relationships/oleObject" Id="rId3"/>
   <Relationship Target="colors4.xml" Type="http://schemas.microsoft.com/office/2011/relationships/chartColorStyle" Id="rId2"/>
   <Relationship Target="style4.xml" Type="http://schemas.microsoft.com/office/2011/relationships/chartStyle" Id="rId1"/>
</Relationships>

</file>

<file path=word/charts/_rels/chart6.xml.rels><?xml version="1.0" encoding="UTF-8"?>
<Relationships xmlns="http://schemas.openxmlformats.org/package/2006/relationships">
   <Relationship Target="../theme/themeOverride2.xml" Type="http://schemas.openxmlformats.org/officeDocument/2006/relationships/themeOverride" Id="rId3"/>
   <Relationship Target="colors5.xml" Type="http://schemas.microsoft.com/office/2011/relationships/chartColorStyle" Id="rId2"/>
   <Relationship Target="style5.xml" Type="http://schemas.microsoft.com/office/2011/relationships/chartStyle" Id="rId1"/>
   <Relationship TargetMode="External" Target="file:///\\CSAFILE01\COMMON\02%20-%20Operations\01%20-%20Quarterly%20Cycle\2019\Q2%20-%20Jul-Jun%202019\04%20-%20Publication\Graphs%20for%20Publication%20and%20Website%20-%20year%20ending%20Jun2019.xlsx" Type="http://schemas.openxmlformats.org/officeDocument/2006/relationships/oleObject" Id="rId4"/>
</Relationships>

</file>

<file path=word/charts/_rels/chart7.xml.rels><?xml version="1.0" encoding="UTF-8"?>
<Relationships xmlns="http://schemas.openxmlformats.org/package/2006/relationships">
   <Relationship TargetMode="External" Target="file:///\\CSAFILE01\COMMON\02%20-%20Operations\01%20-%20Quarterly%20Cycle\2019\Q2%20-%20Jul-Jun%202019\04%20-%20Publication\Graphs%20for%20Publication%20and%20Website%20-%20year%20ending%20Jun2019.xlsx" Type="http://schemas.openxmlformats.org/officeDocument/2006/relationships/oleObject" Id="rId3"/>
   <Relationship Target="colors6.xml" Type="http://schemas.microsoft.com/office/2011/relationships/chartColorStyle" Id="rId2"/>
   <Relationship Target="style6.xml" Type="http://schemas.microsoft.com/office/2011/relationships/chartStyle" Id="rId1"/>
</Relationships>

</file>

<file path=word/charts/_rels/chart8.xml.rels><?xml version="1.0" encoding="UTF-8"?>
<Relationships xmlns="http://schemas.openxmlformats.org/package/2006/relationships">
   <Relationship TargetMode="External" Target="file:///\\CSAFILE01\COMMON\02%20-%20Operations\01%20-%20Quarterly%20Cycle\2019\Q2%20-%20Jul-Jun%202019\04%20-%20Publication\Workings\Graphs%20for%20Publication%20and%20Website%20-%20year%20ending%20Jun2019.xlsx" Type="http://schemas.openxmlformats.org/officeDocument/2006/relationships/oleObject" Id="rId3"/>
   <Relationship Target="colors7.xml" Type="http://schemas.microsoft.com/office/2011/relationships/chartColorStyle" Id="rId2"/>
   <Relationship Target="style7.xml" Type="http://schemas.microsoft.com/office/2011/relationships/chartStyle" Id="rId1"/>
</Relationships>

</file>

<file path=word/charts/_rels/chart9.xml.rels><?xml version="1.0" encoding="UTF-8"?>
<Relationships xmlns="http://schemas.openxmlformats.org/package/2006/relationships">
   <Relationship TargetMode="External" Target="file:///\\CSAFILE01\COMMON\02%20-%20Operations\01%20-%20Quarterly%20Cycle\2019\Q2%20-%20Jul-Jun%202019\04%20-%20Publication\Graphs%20for%20Publication%20and%20Website%20-%20year%20ending%20Jun2019.xlsx" Type="http://schemas.openxmlformats.org/officeDocument/2006/relationships/oleObject" Id="rId1"/>
</Relationships>

</file>

<file path=word/charts/chart1.xml><?xml version="1.0" encoding="utf-8"?>
<c:chartSpace xmlns:c="http://schemas.openxmlformats.org/drawingml/2006/chart" xmlns:r="http://schemas.openxmlformats.org/officeDocument/2006/relationships" xmlns:c15="http://schemas.microsoft.com/office/drawing/2012/chart" xmlns:c16="http://schemas.microsoft.com/office/drawing/2014/chart" xmlns:c16ac="http://schemas.microsoft.com/office/drawing/2014/chart/ac" xmlns:a="http://schemas.openxmlformats.org/drawingml/2006/main">
  <c:date1904 val="false"/>
  <c:lang val="en-US"/>
  <c:roundedCorners val="false"/>
  <c:style val="2"/>
  <c:chart>
    <c:autoTitleDeleted val="true"/>
    <c:plotArea>
      <c:layout/>
      <c:lineChart>
        <c:grouping val="standard"/>
        <c:varyColors val="false"/>
        <c:ser>
          <c:idx val="0"/>
          <c:order val="0"/>
          <c:tx>
            <c:strRef>
              <c:f>'Unique Off - 10 year rate'!$A$2</c:f>
              <c:strCache>
                <c:ptCount val="1"/>
                <c:pt idx="0">
                  <c:v>Unique Offenders</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28575" cap="rnd">
              <a:solidFill>
                <a:srgbClr val="0C344A"/>
              </a:solidFill>
              <a:round/>
            </a:ln>
            <a:effectLst/>
          </c:spPr>
          <c:marker>
            <c:symbol val="circle"/>
            <c:size val="5"/>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0C344A"/>
              </a:solidFill>
              <a:ln w="6350">
                <a:solidFill>
                  <a:srgbClr val="0C344A"/>
                </a:solidFill>
              </a:ln>
              <a:effectLst/>
            </c:spPr>
          </c:marker>
          <c:dLbl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spcFirstLastPara="true" vertOverflow="ellipsis" vert="horz" wrap="square" anchor="ctr" anchorCtr="true"/>
              <a:lstStyle/>
              <a:p>
                <a:pPr>
                  <a:defRPr sz="950" b="false" i="false" u="none" strike="noStrike" kern="1200" baseline="0">
                    <a:solidFill>
                      <a:schemeClr val="tx1">
                        <a:lumMod val="75000"/>
                        <a:lumOff val="25000"/>
                      </a:schemeClr>
                    </a:solidFill>
                    <a:latin typeface="Roboto Condensed Light" panose="02000000000000000000" pitchFamily="2" charset="0"/>
                    <a:ea typeface="Roboto Condensed Light" panose="02000000000000000000" pitchFamily="2" charset="0"/>
                    <a:cs typeface="+mn-cs"/>
                  </a:defRPr>
                </a:pPr>
                <a:endParaRPr lang="en-US"/>
              </a:p>
            </c:txPr>
            <c:dLblPos val="b"/>
            <c:showLegendKey val="false"/>
            <c:showVal val="true"/>
            <c:showCatName val="false"/>
            <c:showSerName val="false"/>
            <c:showPercent val="false"/>
            <c:showBubbleSize val="false"/>
            <c:showLeaderLines val="false"/>
            <c:extLst>
              <c:ext uri="{CE6537A1-D6FC-4f65-9D91-7224C49458BB}">
                <c15:showLeaderLines val="false"/>
              </c:ext>
            </c:extLst>
          </c:dLbls>
          <c:cat>
            <c:numRef>
              <c:f>'Unique Off - 10 year rate'!$B$1:$K$1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'Unique Off - 10 year rate'!$B$2:$K$2</c:f>
              <c:numCache>
                <c:formatCode>#,##0</c:formatCode>
                <c:ptCount val="10"/>
                <c:pt idx="0">
                  <c:v>75629</c:v>
                </c:pt>
                <c:pt idx="1">
                  <c:v>74321</c:v>
                </c:pt>
                <c:pt idx="2">
                  <c:v>75727</c:v>
                </c:pt>
                <c:pt idx="3">
                  <c:v>80789</c:v>
                </c:pt>
                <c:pt idx="4">
                  <c:v>80701</c:v>
                </c:pt>
                <c:pt idx="5">
                  <c:v>79148</c:v>
                </c:pt>
                <c:pt idx="6">
                  <c:v>79051</c:v>
                </c:pt>
                <c:pt idx="7">
                  <c:v>79980</c:v>
                </c:pt>
                <c:pt idx="8">
                  <c:v>79941</c:v>
                </c:pt>
                <c:pt idx="9">
                  <c:v>84989</c:v>
                </c:pt>
              </c:numCache>
            </c:numRef>
          </c:val>
          <c:smooth val="false"/>
        </c:ser>
        <c:dLbls>
          <c:dLblPos val="b"/>
          <c:showLegendKey val="false"/>
          <c:showVal val="true"/>
          <c:showCatName val="false"/>
          <c:showSerName val="false"/>
          <c:showPercent val="false"/>
          <c:showBubbleSize val="false"/>
        </c:dLbls>
        <c:marker val="true"/>
        <c:smooth val="false"/>
        <c:axId val="-1732943792"/>
        <c:axId val="-1732949776"/>
      </c:lineChart>
      <c:catAx>
        <c:axId val="-1732943792"/>
        <c:scaling>
          <c:orientation val="minMax"/>
        </c:scaling>
        <c:delete val="false"/>
        <c:axPos val="b"/>
        <c:numFmt formatCode="General" sourceLinked="true"/>
        <c:majorTickMark val="none"/>
        <c:minorTickMark val="none"/>
        <c:tickLblPos val="nextTo"/>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w="12700" cap="flat" cmpd="sng" algn="ctr">
            <a:solidFill>
              <a:schemeClr val="tx1">
                <a:lumMod val="15000"/>
                <a:lumOff val="85000"/>
              </a:schemeClr>
            </a:solidFill>
            <a:round/>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60000000" spcFirstLastPara="true" vertOverflow="ellipsis" vert="horz" wrap="square" anchor="ctr" anchorCtr="true"/>
          <a:lstStyle/>
          <a:p>
            <a:pPr>
              <a:defRPr sz="9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crossAx val="-1732949776"/>
        <c:crosses val="autoZero"/>
        <c:auto val="true"/>
        <c:lblAlgn val="ctr"/>
        <c:lblOffset val="100"/>
        <c:noMultiLvlLbl val="false"/>
      </c:catAx>
      <c:valAx>
        <c:axId val="-1732949776"/>
        <c:scaling>
          <c:orientation val="minMax"/>
          <c:min val="0.0"/>
        </c:scaling>
        <c:delete val="false"/>
        <c:axPos val="l"/>
        <c:majorGrid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12700" cap="flat" cmpd="sng" algn="ctr">
              <a:solidFill>
                <a:schemeClr val="tx1">
                  <a:lumMod val="15000"/>
                  <a:lumOff val="85000"/>
                </a:schemeClr>
              </a:solidFill>
              <a:round/>
            </a:ln>
            <a:effectLst/>
          </c:spPr>
        </c:majorGridlines>
        <c:numFmt formatCode="#,##0" sourceLinked="true"/>
        <c:majorTickMark val="none"/>
        <c:minorTickMark val="none"/>
        <c:tickLblPos val="nextTo"/>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60000000" spcFirstLastPara="true" vertOverflow="ellipsis" vert="horz" wrap="square" anchor="ctr" anchorCtr="true"/>
          <a:lstStyle/>
          <a:p>
            <a:pPr>
              <a:defRPr sz="9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crossAx val="-1732943792"/>
        <c:crosses val="autoZero"/>
        <c:crossBetween val="between"/>
      </c:valA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plotArea>
    <c:plotVisOnly val="true"/>
    <c:dispBlanksAs val="gap"/>
    <c:showDLblsOverMax val="false"/>
  </c:chart>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chemeClr val="bg1"/>
    </a:solidFill>
    <a:ln w="9525" cap="flat" cmpd="sng" algn="ctr">
      <a:noFill/>
      <a:round/>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a:lstStyle/>
    <a:p>
      <a:pPr>
        <a:defRPr sz="800">
          <a:latin typeface="Roboto" panose="02000000000000000000" pitchFamily="2" charset="0"/>
          <a:ea typeface="Roboto" panose="02000000000000000000" pitchFamily="2" charset="0"/>
        </a:defRPr>
      </a:pPr>
      <a:endParaRPr lang="en-US"/>
    </a:p>
  </c:txPr>
  <c:externalData r:id="rId3">
    <c:autoUpdate val="false"/>
  </c:externalData>
</c:chartSpace>
</file>

<file path=word/charts/chart10.xml><?xml version="1.0" encoding="utf-8"?>
<c:chartSpace xmlns:c="http://schemas.openxmlformats.org/drawingml/2006/chart" xmlns:r="http://schemas.openxmlformats.org/officeDocument/2006/relationships" xmlns:c15="http://schemas.microsoft.com/office/drawing/2012/chart" xmlns:c16="http://schemas.microsoft.com/office/drawing/2014/chart" xmlns:c16ac="http://schemas.microsoft.com/office/drawing/2014/chart/ac" xmlns:a="http://schemas.openxmlformats.org/drawingml/2006/main">
  <c:date1904 val="false"/>
  <c:lang val="en-US"/>
  <c:roundedCorners val="false"/>
  <c:style val="2"/>
  <c:clrMapOv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bg1="lt1" tx1="dk1" bg2="lt2" tx2="dk2" accent1="accent1" accent2="accent2" accent3="accent3" accent4="accent4" accent5="accent5" accent6="accent6" hlink="hlink" folHlink="folHlink"/>
  <c:chart>
    <c:autoTitleDeleted val="true"/>
    <c:plotArea>
      <c:layout>
        <c:manualLayout>
          <c:layoutTarget val="inner"/>
          <c:xMode val="edge"/>
          <c:yMode val="edge"/>
          <c:x val="0.050788449174599154"/>
          <c:y val="0.09959963768115943"/>
          <c:w val="0.8916153846153846"/>
          <c:h val="0.8506494565217392"/>
        </c:manualLayout>
      </c:layout>
      <c:barChart>
        <c:barDir val="bar"/>
        <c:grouping val="clustered"/>
        <c:varyColors val="false"/>
        <c:ser>
          <c:idx val="1"/>
          <c:order val="1"/>
          <c:tx>
            <c:strRef>
              <c:f>'Unique Victims - age sex'!$C$1</c:f>
              <c:strCache>
                <c:ptCount val="1"/>
                <c:pt idx="0">
                  <c:v>Males</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0C344A"/>
            </a:solidFill>
            <a:ln>
              <a:solidFill>
                <a:srgbClr val="0C344A"/>
              </a:solidFill>
            </a:ln>
            <a:effectLst/>
          </c:spPr>
          <c:invertIfNegative val="false"/>
          <c:dLbls>
            <c:dLbl>
              <c:idx val="2"/>
              <c:layout>
                <c:manualLayout>
                  <c:x val="-0.0036472068554737626"/>
                  <c:y val="0.00452279202279194"/>
                </c:manualLayout>
              </c:layout>
              <c:showLegendKey val="false"/>
              <c:showVal val="true"/>
              <c:showCatName val="false"/>
              <c:showSerName val="false"/>
              <c:showPercent val="false"/>
              <c:showBubbleSize val="false"/>
              <c:extLst>
                <c:ext uri="{CE6537A1-D6FC-4f65-9D91-7224C49458BB}">
                  <c15:layout/>
                </c:ext>
              </c:extLst>
            </c:dLbl>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spcFirstLastPara="true" vertOverflow="ellipsis" vert="horz" wrap="square" anchor="ctr" anchorCtr="true"/>
              <a:lstStyle/>
              <a:p>
                <a:pPr>
                  <a:defRPr sz="9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showLegendKey val="false"/>
            <c:showVal val="true"/>
            <c:showCatName val="false"/>
            <c:showSerName val="false"/>
            <c:showPercent val="false"/>
            <c:showBubbleSize val="false"/>
            <c:showLeaderLines val="false"/>
            <c:extLst>
              <c:ext uri="{CE6537A1-D6FC-4f65-9D91-7224C49458BB}">
                <c15:leader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9525" cap="flat" cmpd="sng" algn="ctr">
                      <a:solidFill>
                        <a:schemeClr val="tx1">
                          <a:lumMod val="35000"/>
                          <a:lumOff val="65000"/>
                        </a:schemeClr>
                      </a:solidFill>
                      <a:round/>
                    </a:ln>
                    <a:effectLst/>
                  </c:spPr>
                </c15:leaderLines>
              </c:ext>
            </c:extLst>
          </c:dLbls>
          <c:cat>
            <c:strRef>
              <c:f>'Unique Victims - age sex'!$A$2:$A$16</c:f>
              <c:strCache>
                <c:ptCount val="15"/>
                <c:pt idx="0">
                  <c:v>00–09</c:v>
                </c:pt>
                <c:pt idx="1">
                  <c:v>10–14</c:v>
                </c:pt>
                <c:pt idx="2">
                  <c:v>15–19</c:v>
                </c:pt>
                <c:pt idx="3">
                  <c:v>20–24</c:v>
                </c:pt>
                <c:pt idx="4">
                  <c:v>25–29</c:v>
                </c:pt>
                <c:pt idx="5">
                  <c:v>30–34</c:v>
                </c:pt>
                <c:pt idx="6">
                  <c:v>35–39</c:v>
                </c:pt>
                <c:pt idx="7">
                  <c:v>40–44</c:v>
                </c:pt>
                <c:pt idx="8">
                  <c:v>45–49</c:v>
                </c:pt>
                <c:pt idx="9">
                  <c:v>50–54</c:v>
                </c:pt>
                <c:pt idx="10">
                  <c:v>55–59</c:v>
                </c:pt>
                <c:pt idx="11">
                  <c:v>60–64</c:v>
                </c:pt>
                <c:pt idx="12">
                  <c:v>65–69</c:v>
                </c:pt>
                <c:pt idx="13">
                  <c:v>70–74</c:v>
                </c:pt>
                <c:pt idx="14">
                  <c:v>75+</c:v>
                </c:pt>
              </c:strCache>
            </c:strRef>
          </c:cat>
          <c:val>
            <c:numRef>
              <c:f>'Unique Victims - age sex'!$C$2:$C$16</c:f>
              <c:numCache>
                <c:formatCode>#,##0</c:formatCode>
                <c:ptCount val="15"/>
                <c:pt idx="0">
                  <c:v>1008</c:v>
                </c:pt>
                <c:pt idx="1">
                  <c:v>1828</c:v>
                </c:pt>
                <c:pt idx="2">
                  <c:v>5362</c:v>
                </c:pt>
                <c:pt idx="3">
                  <c:v>10966</c:v>
                </c:pt>
                <c:pt idx="4">
                  <c:v>13240</c:v>
                </c:pt>
                <c:pt idx="5">
                  <c:v>12843</c:v>
                </c:pt>
                <c:pt idx="6">
                  <c:v>11151</c:v>
                </c:pt>
                <c:pt idx="7">
                  <c:v>9395</c:v>
                </c:pt>
                <c:pt idx="8">
                  <c:v>9212</c:v>
                </c:pt>
                <c:pt idx="9">
                  <c:v>7791</c:v>
                </c:pt>
                <c:pt idx="10">
                  <c:v>6842</c:v>
                </c:pt>
                <c:pt idx="11">
                  <c:v>5029</c:v>
                </c:pt>
                <c:pt idx="12">
                  <c:v>3544</c:v>
                </c:pt>
                <c:pt idx="13">
                  <c:v>2438</c:v>
                </c:pt>
                <c:pt idx="14">
                  <c:v>2485</c:v>
                </c:pt>
              </c:numCache>
            </c:numRef>
          </c:val>
        </c:ser>
        <c:dLbls>
          <c:showLegendKey val="false"/>
          <c:showVal val="false"/>
          <c:showCatName val="false"/>
          <c:showSerName val="false"/>
          <c:showPercent val="false"/>
          <c:showBubbleSize val="false"/>
        </c:dLbls>
        <c:gapWidth val="100"/>
        <c:axId val="-1732929104"/>
        <c:axId val="-1732934544"/>
      </c:barChart>
      <c:barChart>
        <c:barDir val="bar"/>
        <c:grouping val="clustered"/>
        <c:varyColors val="false"/>
        <c:ser>
          <c:idx val="0"/>
          <c:order val="0"/>
          <c:tx>
            <c:strRef>
              <c:f>'Unique Victims - age sex'!$B$1</c:f>
              <c:strCache>
                <c:ptCount val="1"/>
                <c:pt idx="0">
                  <c:v>Females</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7CBAC0"/>
            </a:solidFill>
            <a:ln>
              <a:solidFill>
                <a:srgbClr val="7CBAC0"/>
              </a:solidFill>
            </a:ln>
            <a:effectLst/>
          </c:spPr>
          <c:invertIfNegative val="false"/>
          <c:dLbl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spcFirstLastPara="true" vertOverflow="ellipsis" vert="horz" wrap="square" anchor="ctr" anchorCtr="true"/>
              <a:lstStyle/>
              <a:p>
                <a:pPr>
                  <a:defRPr sz="9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showLegendKey val="false"/>
            <c:showVal val="true"/>
            <c:showCatName val="false"/>
            <c:showSerName val="false"/>
            <c:showPercent val="false"/>
            <c:showBubbleSize val="false"/>
            <c:showLeaderLines val="false"/>
            <c:extLst>
              <c:ext uri="{CE6537A1-D6FC-4f65-9D91-7224C49458BB}">
                <c15:leader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9525" cap="flat" cmpd="sng" algn="ctr">
                      <a:solidFill>
                        <a:schemeClr val="tx1">
                          <a:lumMod val="35000"/>
                          <a:lumOff val="65000"/>
                        </a:schemeClr>
                      </a:solidFill>
                      <a:round/>
                    </a:ln>
                    <a:effectLst/>
                  </c:spPr>
                </c15:leaderLines>
              </c:ext>
            </c:extLst>
          </c:dLbls>
          <c:cat>
            <c:strRef>
              <c:f>'Unique Victims - age sex'!$A$2:$A$16</c:f>
              <c:strCache>
                <c:ptCount val="15"/>
                <c:pt idx="0">
                  <c:v>00–09</c:v>
                </c:pt>
                <c:pt idx="1">
                  <c:v>10–14</c:v>
                </c:pt>
                <c:pt idx="2">
                  <c:v>15–19</c:v>
                </c:pt>
                <c:pt idx="3">
                  <c:v>20–24</c:v>
                </c:pt>
                <c:pt idx="4">
                  <c:v>25–29</c:v>
                </c:pt>
                <c:pt idx="5">
                  <c:v>30–34</c:v>
                </c:pt>
                <c:pt idx="6">
                  <c:v>35–39</c:v>
                </c:pt>
                <c:pt idx="7">
                  <c:v>40–44</c:v>
                </c:pt>
                <c:pt idx="8">
                  <c:v>45–49</c:v>
                </c:pt>
                <c:pt idx="9">
                  <c:v>50–54</c:v>
                </c:pt>
                <c:pt idx="10">
                  <c:v>55–59</c:v>
                </c:pt>
                <c:pt idx="11">
                  <c:v>60–64</c:v>
                </c:pt>
                <c:pt idx="12">
                  <c:v>65–69</c:v>
                </c:pt>
                <c:pt idx="13">
                  <c:v>70–74</c:v>
                </c:pt>
                <c:pt idx="14">
                  <c:v>75+</c:v>
                </c:pt>
              </c:strCache>
            </c:strRef>
          </c:cat>
          <c:val>
            <c:numRef>
              <c:f>'Unique Victims - age sex'!$B$2:$B$16</c:f>
              <c:numCache>
                <c:formatCode>#,##0</c:formatCode>
                <c:ptCount val="15"/>
                <c:pt idx="0">
                  <c:v>880</c:v>
                </c:pt>
                <c:pt idx="1">
                  <c:v>1896</c:v>
                </c:pt>
                <c:pt idx="2">
                  <c:v>5154</c:v>
                </c:pt>
                <c:pt idx="3">
                  <c:v>9359</c:v>
                </c:pt>
                <c:pt idx="4">
                  <c:v>10571</c:v>
                </c:pt>
                <c:pt idx="5">
                  <c:v>9568</c:v>
                </c:pt>
                <c:pt idx="6">
                  <c:v>8340</c:v>
                </c:pt>
                <c:pt idx="7">
                  <c:v>7389</c:v>
                </c:pt>
                <c:pt idx="8">
                  <c:v>7231</c:v>
                </c:pt>
                <c:pt idx="9">
                  <c:v>5774</c:v>
                </c:pt>
                <c:pt idx="10">
                  <c:v>4567</c:v>
                </c:pt>
                <c:pt idx="11">
                  <c:v>3355</c:v>
                </c:pt>
                <c:pt idx="12">
                  <c:v>2312</c:v>
                </c:pt>
                <c:pt idx="13">
                  <c:v>1634</c:v>
                </c:pt>
                <c:pt idx="14">
                  <c:v>2223</c:v>
                </c:pt>
              </c:numCache>
            </c:numRef>
          </c:val>
        </c:ser>
        <c:dLbls>
          <c:showLegendKey val="false"/>
          <c:showVal val="false"/>
          <c:showCatName val="false"/>
          <c:showSerName val="false"/>
          <c:showPercent val="false"/>
          <c:showBubbleSize val="false"/>
        </c:dLbls>
        <c:gapWidth val="100"/>
        <c:axId val="-1732928560"/>
        <c:axId val="-1732930736"/>
      </c:barChart>
      <c:catAx>
        <c:axId val="-1732929104"/>
        <c:scaling>
          <c:orientation val="minMax"/>
        </c:scaling>
        <c:delete val="false"/>
        <c:axPos val="r"/>
        <c:numFmt formatCode="General" sourceLinked="true"/>
        <c:majorTickMark val="none"/>
        <c:minorTickMark val="none"/>
        <c:tickLblPos val="high"/>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w="9525" cap="flat" cmpd="sng" algn="ctr">
            <a:solidFill>
              <a:schemeClr val="tx1">
                <a:lumMod val="15000"/>
                <a:lumOff val="85000"/>
              </a:schemeClr>
            </a:solidFill>
            <a:round/>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60000000" spcFirstLastPara="true" vertOverflow="ellipsis" vert="horz" wrap="square" anchor="ctr" anchorCtr="true"/>
          <a:lstStyle/>
          <a:p>
            <a:pPr>
              <a:defRPr sz="9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crossAx val="-1732934544"/>
        <c:crosses val="autoZero"/>
        <c:auto val="true"/>
        <c:lblAlgn val="ctr"/>
        <c:lblOffset val="100"/>
        <c:noMultiLvlLbl val="false"/>
      </c:catAx>
      <c:valAx>
        <c:axId val="-1732934544"/>
        <c:scaling>
          <c:orientation val="maxMin"/>
          <c:max val="18000.0"/>
          <c:min val="-15000.0"/>
        </c:scaling>
        <c:delete val="false"/>
        <c:axPos val="b"/>
        <c:majorGrid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12700" cap="flat" cmpd="sng" algn="ctr">
              <a:solidFill>
                <a:schemeClr val="tx1">
                  <a:lumMod val="15000"/>
                  <a:lumOff val="85000"/>
                </a:schemeClr>
              </a:solidFill>
              <a:round/>
            </a:ln>
            <a:effectLst/>
          </c:spPr>
        </c:majorGridlines>
        <c:numFmt formatCode="#,##0" sourceLinked="true"/>
        <c:majorTickMark val="out"/>
        <c:minorTickMark val="none"/>
        <c:tickLblPos val="none"/>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60000000" spcFirstLastPara="true" vertOverflow="ellipsis" vert="horz" wrap="square" anchor="ctr" anchorCtr="true"/>
          <a:lstStyle/>
          <a:p>
            <a:pPr>
              <a:defRPr sz="10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crossAx val="-1732929104"/>
        <c:crosses val="autoZero"/>
        <c:crossBetween val="between"/>
        <c:majorUnit val="5000.0"/>
      </c:valAx>
      <c:valAx>
        <c:axId val="-1732930736"/>
        <c:scaling>
          <c:orientation val="minMax"/>
          <c:max val="15000.0"/>
          <c:min val="-18000.0"/>
        </c:scaling>
        <c:delete val="false"/>
        <c:axPos val="t"/>
        <c:numFmt formatCode="#,##0" sourceLinked="true"/>
        <c:majorTickMark val="out"/>
        <c:minorTickMark val="none"/>
        <c:tickLblPos val="none"/>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60000000" spcFirstLastPara="true" vertOverflow="ellipsis" vert="horz" wrap="square" anchor="ctr" anchorCtr="true"/>
          <a:lstStyle/>
          <a:p>
            <a:pPr>
              <a:defRPr sz="10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crossAx val="-1732928560"/>
        <c:crosses val="max"/>
        <c:crossBetween val="between"/>
      </c:valAx>
      <c:catAx>
        <c:axId val="-1732928560"/>
        <c:scaling>
          <c:orientation val="minMax"/>
        </c:scaling>
        <c:delete val="true"/>
        <c:axPos val="l"/>
        <c:numFmt formatCode="General" sourceLinked="true"/>
        <c:majorTickMark val="out"/>
        <c:minorTickMark val="none"/>
        <c:tickLblPos val="nextTo"/>
        <c:crossAx val="-1732930736"/>
        <c:crosses val="autoZero"/>
        <c:auto val="true"/>
        <c:lblAlgn val="ctr"/>
        <c:lblOffset val="100"/>
        <c:noMultiLvlLbl val="false"/>
      </c:catA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plotArea>
    <c:legend>
      <c:legendPos val="t"/>
      <c:layout>
        <c:manualLayout>
          <c:xMode val="edge"/>
          <c:yMode val="edge"/>
          <c:x val="0.01760092044707432"/>
          <c:y val="0.015173237753882915"/>
          <c:w val="0.2049689349112426"/>
          <c:h val="0.07475268817204302"/>
        </c:manualLayout>
      </c:layout>
      <c:overlay val="false"/>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spcFirstLastPara="true" vertOverflow="ellipsis" vert="horz" wrap="square" anchor="ctr" anchorCtr="true"/>
        <a:lstStyle/>
        <a:p>
          <a:pPr>
            <a:defRPr sz="9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legend>
    <c:plotVisOnly val="true"/>
    <c:dispBlanksAs val="gap"/>
    <c:showDLblsOverMax val="false"/>
  </c:chart>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chemeClr val="bg1"/>
    </a:solidFill>
    <a:ln w="9525" cap="flat" cmpd="sng" algn="ctr">
      <a:noFill/>
      <a:round/>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a:lstStyle/>
    <a:p>
      <a:pPr>
        <a:defRPr sz="1050">
          <a:solidFill>
            <a:schemeClr val="tx1">
              <a:lumMod val="65000"/>
              <a:lumOff val="35000"/>
            </a:schemeClr>
          </a:solidFill>
          <a:latin typeface="Roboto Condensed Light" panose="02000000000000000000" pitchFamily="2" charset="0"/>
          <a:ea typeface="Roboto Condensed Light" panose="02000000000000000000" pitchFamily="2" charset="0"/>
        </a:defRPr>
      </a:pPr>
      <a:endParaRPr lang="en-US"/>
    </a:p>
  </c:txPr>
  <c:externalData r:id="rId3">
    <c:autoUpdate val="false"/>
  </c:externalData>
</c:chartSpace>
</file>

<file path=word/charts/chart11.xml><?xml version="1.0" encoding="utf-8"?>
<c:chartSpace xmlns:c="http://schemas.openxmlformats.org/drawingml/2006/chart" xmlns:r="http://schemas.openxmlformats.org/officeDocument/2006/relationships" xmlns:c15="http://schemas.microsoft.com/office/drawing/2012/chart" xmlns:c16="http://schemas.microsoft.com/office/drawing/2014/chart" xmlns:c16ac="http://schemas.microsoft.com/office/drawing/2014/chart/ac" xmlns:a="http://schemas.openxmlformats.org/drawingml/2006/main">
  <c:date1904 val="false"/>
  <c:lang val="en-US"/>
  <c:roundedCorners val="false"/>
  <c:style val="2"/>
  <c:chart>
    <c:autoTitleDeleted val="true"/>
    <c:plotArea>
      <c:layout>
        <c:manualLayout>
          <c:layoutTarget val="inner"/>
          <c:xMode val="edge"/>
          <c:yMode val="edge"/>
          <c:x val="0.07919597708607616"/>
          <c:y val="0.04332840293119592"/>
          <c:w val="0.8966639128163594"/>
          <c:h val="0.7562246511390315"/>
        </c:manualLayout>
      </c:layout>
      <c:lineChart>
        <c:grouping val="standard"/>
        <c:varyColors val="false"/>
        <c:ser>
          <c:idx val="0"/>
          <c:order val="0"/>
          <c:tx>
            <c:strRef>
              <c:f>'Unique Victims - FV proportion'!$A$3</c:f>
              <c:strCache>
                <c:ptCount val="1"/>
                <c:pt idx="0">
                  <c:v>Males</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28575" cap="rnd">
              <a:solidFill>
                <a:srgbClr val="0C344A"/>
              </a:solidFill>
              <a:round/>
            </a:ln>
            <a:effectLst/>
          </c:spPr>
          <c:marker>
            <c:symbol val="circle"/>
            <c:size val="5"/>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0C344A"/>
              </a:solidFill>
              <a:ln w="6350">
                <a:solidFill>
                  <a:srgbClr val="0C344A"/>
                </a:solidFill>
              </a:ln>
              <a:effectLst/>
            </c:spPr>
          </c:marker>
          <c:dPt>
            <c:idx val="0"/>
            <c:marker>
              <c:symbol val="circle"/>
              <c:size val="5"/>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0C344A"/>
                </a:solidFill>
                <a:ln w="6350">
                  <a:solidFill>
                    <a:srgbClr val="0C344A"/>
                  </a:solidFill>
                </a:ln>
                <a:effectLst/>
              </c:spPr>
            </c:marker>
            <c:bubble3D val="false"/>
          </c:dPt>
          <c:dPt>
            <c:idx val="2"/>
            <c:marker>
              <c:symbol val="circle"/>
              <c:size val="5"/>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0C344A"/>
                </a:solidFill>
                <a:ln w="6350">
                  <a:solidFill>
                    <a:srgbClr val="0C344A"/>
                  </a:solidFill>
                </a:ln>
                <a:effectLst/>
              </c:spPr>
            </c:marker>
            <c:bubble3D val="false"/>
          </c:dPt>
          <c:dPt>
            <c:idx val="3"/>
            <c:marker>
              <c:symbol val="circle"/>
              <c:size val="5"/>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0C344A"/>
                </a:solidFill>
                <a:ln w="6350">
                  <a:solidFill>
                    <a:srgbClr val="0C344A"/>
                  </a:solidFill>
                </a:ln>
                <a:effectLst/>
              </c:spPr>
            </c:marker>
            <c:bubble3D val="false"/>
          </c:dPt>
          <c:dPt>
            <c:idx val="4"/>
            <c:marker>
              <c:symbol val="circle"/>
              <c:size val="5"/>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0C344A"/>
                </a:solidFill>
                <a:ln w="6350">
                  <a:solidFill>
                    <a:srgbClr val="0C344A"/>
                  </a:solidFill>
                </a:ln>
                <a:effectLst/>
              </c:spPr>
            </c:marker>
            <c:bubble3D val="false"/>
          </c:dPt>
          <c:dLbl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spcFirstLastPara="true" vertOverflow="ellipsis" vert="horz" wrap="square" anchor="ctr" anchorCtr="true"/>
              <a:lstStyle/>
              <a:p>
                <a:pPr>
                  <a:defRPr sz="1050" b="false" i="false" u="none" strike="noStrike" kern="1200" baseline="0">
                    <a:solidFill>
                      <a:schemeClr val="tx1">
                        <a:lumMod val="75000"/>
                        <a:lumOff val="25000"/>
                      </a:schemeClr>
                    </a:solidFill>
                    <a:latin typeface="Roboto Condensed Light" panose="02000000000000000000" pitchFamily="2" charset="0"/>
                    <a:ea typeface="Roboto Condensed Light" panose="02000000000000000000" pitchFamily="2" charset="0"/>
                    <a:cs typeface="+mn-cs"/>
                  </a:defRPr>
                </a:pPr>
                <a:endParaRPr lang="en-US"/>
              </a:p>
            </c:txPr>
            <c:dLblPos val="t"/>
            <c:showLegendKey val="false"/>
            <c:showVal val="true"/>
            <c:showCatName val="false"/>
            <c:showSerName val="false"/>
            <c:showPercent val="false"/>
            <c:showBubbleSize val="false"/>
            <c:showLeaderLines val="false"/>
            <c:extLst>
              <c:ext uri="{CE6537A1-D6FC-4f65-9D91-7224C49458BB}">
                <c15:leader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9525" cap="flat" cmpd="sng" algn="ctr">
                      <a:solidFill>
                        <a:schemeClr val="tx1">
                          <a:lumMod val="35000"/>
                          <a:lumOff val="65000"/>
                        </a:schemeClr>
                      </a:solidFill>
                      <a:round/>
                    </a:ln>
                    <a:effectLst/>
                  </c:spPr>
                </c15:leaderLines>
              </c:ext>
            </c:extLst>
          </c:dLbls>
          <c:cat>
            <c:strRef>
              <c:f>'Unique Victims - FV proportion'!$B$2:$F$2</c:f>
              <c:strCache>
                <c:ptCount val="5"/>
                <c:pt idx="0">
                  <c:v>Non-FV</c:v>
                </c:pt>
                <c:pt idx="1">
                  <c:v>FV</c:v>
                </c:pt>
                <c:pt idx="2">
                  <c:v>Total</c:v>
                </c:pt>
                <c:pt idx="3">
                  <c:v>Non-FV</c:v>
                </c:pt>
                <c:pt idx="4">
                  <c:v>FV</c:v>
                </c:pt>
              </c:strCache>
            </c:strRef>
          </c:cat>
          <c:val>
            <c:numRef>
              <c:f>'Unique Victims - FV proportion'!$B$8:$F$8</c:f>
              <c:numCache>
                <c:formatCode>0.0%</c:formatCode>
                <c:ptCount val="5"/>
                <c:pt idx="0">
                  <c:v>6.5848972956997195E-2</c:v>
                </c:pt>
                <c:pt idx="1">
                  <c:v>6.8289355151875591E-2</c:v>
                </c:pt>
                <c:pt idx="2">
                  <c:v>7.1208212779307695E-2</c:v>
                </c:pt>
                <c:pt idx="3">
                  <c:v>7.1000273840662501E-2</c:v>
                </c:pt>
                <c:pt idx="4">
                  <c:v>7.2858233161610386E-2</c:v>
                </c:pt>
              </c:numCache>
            </c:numRef>
          </c:val>
          <c:smooth val="false"/>
        </c:ser>
        <c:ser>
          <c:idx val="1"/>
          <c:order val="1"/>
          <c:tx>
            <c:strRef>
              <c:f>'Unique Victims - FV proportion'!$A$4</c:f>
              <c:strCache>
                <c:ptCount val="1"/>
                <c:pt idx="0">
                  <c:v>Females</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28575" cap="rnd">
              <a:solidFill>
                <a:srgbClr val="7CBAC0"/>
              </a:solidFill>
              <a:round/>
            </a:ln>
            <a:effectLst/>
          </c:spPr>
          <c:marker>
            <c:symbol val="circle"/>
            <c:size val="5"/>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7CBAC0"/>
              </a:solidFill>
              <a:ln w="6350">
                <a:solidFill>
                  <a:srgbClr val="7CBAC0"/>
                </a:solidFill>
              </a:ln>
              <a:effectLst/>
            </c:spPr>
          </c:marker>
          <c:dLbls>
            <c:dLbl>
              <c:idx val="0"/>
              <c:layout>
                <c:manualLayout>
                  <c:x val="-0.04712332549914502"/>
                  <c:y val="-0.03777668845315904"/>
                </c:manualLayout>
              </c:layout>
              <c:dLblPos val="r"/>
              <c:showLegendKey val="false"/>
              <c:showVal val="true"/>
              <c:showCatName val="false"/>
              <c:showSerName val="false"/>
              <c:showPercent val="false"/>
              <c:showBubbleSize val="false"/>
              <c:extLst>
                <c:ext uri="{CE6537A1-D6FC-4f65-9D91-7224C49458BB}">
                  <c15:layout/>
                </c:ext>
              </c:extLst>
            </c:dLbl>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spcFirstLastPara="true" vertOverflow="ellipsis" vert="horz" wrap="square" anchor="ctr" anchorCtr="true"/>
              <a:lstStyle/>
              <a:p>
                <a:pPr>
                  <a:defRPr sz="1050" b="false" i="false" u="none" strike="noStrike" kern="1200" baseline="0">
                    <a:solidFill>
                      <a:schemeClr val="tx1">
                        <a:lumMod val="75000"/>
                        <a:lumOff val="25000"/>
                      </a:schemeClr>
                    </a:solidFill>
                    <a:latin typeface="Roboto Condensed Light" panose="02000000000000000000" pitchFamily="2" charset="0"/>
                    <a:ea typeface="Roboto Condensed Light" panose="02000000000000000000" pitchFamily="2" charset="0"/>
                    <a:cs typeface="+mn-cs"/>
                  </a:defRPr>
                </a:pPr>
                <a:endParaRPr lang="en-US"/>
              </a:p>
            </c:txPr>
            <c:dLblPos val="t"/>
            <c:showLegendKey val="false"/>
            <c:showVal val="true"/>
            <c:showCatName val="false"/>
            <c:showSerName val="false"/>
            <c:showPercent val="false"/>
            <c:showBubbleSize val="false"/>
            <c:showLeaderLines val="false"/>
            <c:extLst>
              <c:ext uri="{CE6537A1-D6FC-4f65-9D91-7224C49458BB}">
                <c15:leader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9525" cap="flat" cmpd="sng" algn="ctr">
                      <a:solidFill>
                        <a:schemeClr val="tx1">
                          <a:lumMod val="35000"/>
                          <a:lumOff val="65000"/>
                        </a:schemeClr>
                      </a:solidFill>
                      <a:round/>
                    </a:ln>
                    <a:effectLst/>
                  </c:spPr>
                </c15:leaderLines>
              </c:ext>
            </c:extLst>
          </c:dLbls>
          <c:val>
            <c:numRef>
              <c:f>'Unique Victims - FV proportion'!$B$9:$F$9</c:f>
              <c:numCache>
                <c:formatCode>0.0%</c:formatCode>
                <c:ptCount val="5"/>
                <c:pt idx="0">
                  <c:v>0.21375662717840746</c:v>
                </c:pt>
                <c:pt idx="1">
                  <c:v>0.2200939397410929</c:v>
                </c:pt>
                <c:pt idx="2">
                  <c:v>0.22222603366264179</c:v>
                </c:pt>
                <c:pt idx="3">
                  <c:v>0.23310909622696696</c:v>
                </c:pt>
                <c:pt idx="4">
                  <c:v>0.24599244341733612</c:v>
                </c:pt>
              </c:numCache>
            </c:numRef>
          </c:val>
          <c:smooth val="false"/>
        </c:ser>
        <c:dLbls>
          <c:dLblPos val="t"/>
          <c:showLegendKey val="false"/>
          <c:showVal val="true"/>
          <c:showCatName val="false"/>
          <c:showSerName val="false"/>
          <c:showPercent val="false"/>
          <c:showBubbleSize val="false"/>
        </c:dLbls>
        <c:marker val="true"/>
        <c:smooth val="false"/>
        <c:axId val="-1732936720"/>
        <c:axId val="-1732928016"/>
      </c:lineChart>
      <c:catAx>
        <c:axId val="-1732936720"/>
        <c:scaling>
          <c:orientation val="minMax"/>
        </c:scaling>
        <c:delete val="false"/>
        <c:axPos val="b"/>
        <c:numFmt formatCode="General" sourceLinked="true"/>
        <c:majorTickMark val="none"/>
        <c:minorTickMark val="none"/>
        <c:tickLblPos val="nextTo"/>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w="12700" cap="flat" cmpd="sng" algn="ctr">
            <a:solidFill>
              <a:schemeClr val="tx1">
                <a:lumMod val="15000"/>
                <a:lumOff val="85000"/>
              </a:schemeClr>
            </a:solidFill>
            <a:round/>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60000000" spcFirstLastPara="true" vertOverflow="ellipsis" vert="horz" wrap="square" anchor="ctr" anchorCtr="true"/>
          <a:lstStyle/>
          <a:p>
            <a:pPr>
              <a:defRPr sz="1050" b="false" i="false" u="none" strike="noStrike" kern="1200" baseline="0">
                <a:solidFill>
                  <a:schemeClr val="tx1">
                    <a:lumMod val="65000"/>
                    <a:lumOff val="35000"/>
                  </a:schemeClr>
                </a:solidFill>
                <a:latin typeface="Roboto Condensed" panose="02000000000000000000" pitchFamily="2" charset="0"/>
                <a:ea typeface="Roboto Condensed" panose="02000000000000000000" pitchFamily="2" charset="0"/>
                <a:cs typeface="+mn-cs"/>
              </a:defRPr>
            </a:pPr>
            <a:endParaRPr lang="en-US"/>
          </a:p>
        </c:txPr>
        <c:crossAx val="-1732928016"/>
        <c:crosses val="autoZero"/>
        <c:auto val="true"/>
        <c:lblAlgn val="ctr"/>
        <c:lblOffset val="100"/>
        <c:noMultiLvlLbl val="false"/>
      </c:catAx>
      <c:valAx>
        <c:axId val="-1732928016"/>
        <c:scaling>
          <c:orientation val="minMax"/>
        </c:scaling>
        <c:delete val="false"/>
        <c:axPos val="l"/>
        <c:majorGrid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12700" cap="flat" cmpd="sng" algn="ctr">
              <a:solidFill>
                <a:schemeClr val="tx1">
                  <a:lumMod val="15000"/>
                  <a:lumOff val="85000"/>
                </a:schemeClr>
              </a:solidFill>
              <a:round/>
            </a:ln>
            <a:effectLst/>
          </c:spPr>
        </c:majorGridlines>
        <c:numFmt formatCode="0%" sourceLinked="false"/>
        <c:majorTickMark val="none"/>
        <c:minorTickMark val="none"/>
        <c:tickLblPos val="nextTo"/>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60000000" spcFirstLastPara="true" vertOverflow="ellipsis" vert="horz" wrap="square" anchor="ctr" anchorCtr="true"/>
          <a:lstStyle/>
          <a:p>
            <a:pPr>
              <a:defRPr sz="1050" b="false" i="false" u="none" strike="noStrike" kern="1200" baseline="0">
                <a:solidFill>
                  <a:schemeClr val="tx1">
                    <a:lumMod val="65000"/>
                    <a:lumOff val="35000"/>
                  </a:schemeClr>
                </a:solidFill>
                <a:latin typeface="Roboto Condensed" panose="02000000000000000000" pitchFamily="2" charset="0"/>
                <a:ea typeface="Roboto Condensed" panose="02000000000000000000" pitchFamily="2" charset="0"/>
                <a:cs typeface="+mn-cs"/>
              </a:defRPr>
            </a:pPr>
            <a:endParaRPr lang="en-US"/>
          </a:p>
        </c:txPr>
        <c:crossAx val="-1732936720"/>
        <c:crosses val="autoZero"/>
        <c:crossBetween val="between"/>
        <c:majorUnit val="0.1"/>
      </c:valA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plotArea>
    <c:legend>
      <c:legendPos val="b"/>
      <c:layout>
        <c:manualLayout>
          <c:xMode val="edge"/>
          <c:yMode val="edge"/>
          <c:x val="0.0685007973271712"/>
          <c:y val="0.9052919270532065"/>
          <c:w val="0.8951550425822778"/>
          <c:h val="0.07238510607084582"/>
        </c:manualLayout>
      </c:layout>
      <c:overlay val="false"/>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spcFirstLastPara="true" vertOverflow="ellipsis" vert="horz" wrap="square" anchor="ctr" anchorCtr="true"/>
        <a:lstStyle/>
        <a:p>
          <a:pPr>
            <a:defRPr sz="1050" b="false" i="false" u="none" strike="noStrike" kern="1200" baseline="0">
              <a:solidFill>
                <a:schemeClr val="tx1">
                  <a:lumMod val="65000"/>
                  <a:lumOff val="35000"/>
                </a:schemeClr>
              </a:solidFill>
              <a:latin typeface="Roboto Condensed" panose="02000000000000000000" pitchFamily="2" charset="0"/>
              <a:ea typeface="Roboto Condensed" panose="02000000000000000000" pitchFamily="2" charset="0"/>
              <a:cs typeface="+mn-cs"/>
            </a:defRPr>
          </a:pPr>
          <a:endParaRPr lang="en-US"/>
        </a:p>
      </c:txPr>
    </c:legend>
    <c:plotVisOnly val="true"/>
    <c:dispBlanksAs val="gap"/>
    <c:showDLblsOverMax val="false"/>
  </c:chart>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chemeClr val="bg1"/>
    </a:solidFill>
    <a:ln w="9525" cap="flat" cmpd="sng" algn="ctr">
      <a:noFill/>
      <a:round/>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a:lstStyle/>
    <a:p>
      <a:pPr>
        <a:defRPr sz="1050">
          <a:latin typeface="Roboto Condensed" panose="02000000000000000000" pitchFamily="2" charset="0"/>
          <a:ea typeface="Roboto Condensed" panose="02000000000000000000" pitchFamily="2" charset="0"/>
        </a:defRPr>
      </a:pPr>
      <a:endParaRPr lang="en-US"/>
    </a:p>
  </c:txPr>
  <c:externalData r:id="rId3">
    <c:autoUpdate val="false"/>
  </c:externalData>
</c:chartSpace>
</file>

<file path=word/charts/chart12.xml><?xml version="1.0" encoding="utf-8"?>
<c:chartSpace xmlns:c="http://schemas.openxmlformats.org/drawingml/2006/chart" xmlns:r="http://schemas.openxmlformats.org/officeDocument/2006/relationships" xmlns:c15="http://schemas.microsoft.com/office/drawing/2012/chart" xmlns:c16="http://schemas.microsoft.com/office/drawing/2014/chart" xmlns:c16ac="http://schemas.microsoft.com/office/drawing/2014/chart/ac" xmlns:a="http://schemas.openxmlformats.org/drawingml/2006/main">
  <c:date1904 val="false"/>
  <c:lang val="en-US"/>
  <c:roundedCorners val="false"/>
  <c:style val="2"/>
  <c:clrMapOv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bg1="lt1" tx1="dk1" bg2="lt2" tx2="dk2" accent1="accent1" accent2="accent2" accent3="accent3" accent4="accent4" accent5="accent5" accent6="accent6" hlink="hlink" folHlink="folHlink"/>
  <c:chart>
    <c:autoTitleDeleted val="true"/>
    <c:plotArea>
      <c:layout/>
      <c:lineChart>
        <c:grouping val="standard"/>
        <c:varyColors val="false"/>
        <c:ser>
          <c:idx val="0"/>
          <c:order val="0"/>
          <c:tx>
            <c:strRef>
              <c:f>'Unique Victims - youth sex'!$A$3</c:f>
              <c:strCache>
                <c:ptCount val="1"/>
                <c:pt idx="0">
                  <c:v>Males</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28575" cap="rnd">
              <a:solidFill>
                <a:srgbClr val="0C344A"/>
              </a:solidFill>
              <a:round/>
            </a:ln>
            <a:effectLst/>
          </c:spPr>
          <c:marker>
            <c:symbol val="circle"/>
            <c:size val="5"/>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0C344A"/>
              </a:solidFill>
              <a:ln w="6350">
                <a:solidFill>
                  <a:srgbClr val="0C344A"/>
                </a:solidFill>
              </a:ln>
              <a:effectLst/>
            </c:spPr>
          </c:marker>
          <c:dLbl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spcFirstLastPara="true" vertOverflow="ellipsis" vert="horz" wrap="square" anchor="ctr" anchorCtr="true"/>
              <a:lstStyle/>
              <a:p>
                <a:pPr>
                  <a:defRPr sz="950" b="false" i="false" u="none" strike="noStrike" kern="1200" baseline="0">
                    <a:solidFill>
                      <a:schemeClr val="tx1">
                        <a:lumMod val="75000"/>
                        <a:lumOff val="25000"/>
                      </a:schemeClr>
                    </a:solidFill>
                    <a:latin typeface="Roboto Condensed Light" panose="02000000000000000000" pitchFamily="2" charset="0"/>
                    <a:ea typeface="Roboto Condensed Light" panose="02000000000000000000" pitchFamily="2" charset="0"/>
                    <a:cs typeface="+mn-cs"/>
                  </a:defRPr>
                </a:pPr>
                <a:endParaRPr lang="en-US"/>
              </a:p>
            </c:txPr>
            <c:dLblPos val="b"/>
            <c:showLegendKey val="false"/>
            <c:showVal val="true"/>
            <c:showCatName val="false"/>
            <c:showSerName val="false"/>
            <c:showPercent val="false"/>
            <c:showBubbleSize val="false"/>
            <c:showLeaderLines val="false"/>
            <c:extLst>
              <c:ext uri="{CE6537A1-D6FC-4f65-9D91-7224C49458BB}">
                <c15:showLeaderLines val="false"/>
              </c:ext>
            </c:extLst>
          </c:dLbls>
          <c:cat>
            <c:strRef>
              <c:f>'Unique Victims - youth sex'!$B$2:$F$2</c:f>
              <c:strCache>
                <c:ptCount val="5"/>
                <c:pt idx="0">
                  <c:v>2014–15</c:v>
                </c:pt>
                <c:pt idx="1">
                  <c:v>2015–16</c:v>
                </c:pt>
                <c:pt idx="2">
                  <c:v>2016–17</c:v>
                </c:pt>
                <c:pt idx="3">
                  <c:v>2017–18</c:v>
                </c:pt>
                <c:pt idx="4">
                  <c:v>2018–19</c:v>
                </c:pt>
              </c:strCache>
            </c:strRef>
          </c:cat>
          <c:val>
            <c:numRef>
              <c:f>'Unique Victims - youth sex'!$B$3:$F$3</c:f>
              <c:numCache>
                <c:formatCode>#,##0</c:formatCode>
                <c:ptCount val="5"/>
                <c:pt idx="0">
                  <c:v>4443</c:v>
                </c:pt>
                <c:pt idx="1">
                  <c:v>5212</c:v>
                </c:pt>
                <c:pt idx="2">
                  <c:v>5349</c:v>
                </c:pt>
                <c:pt idx="3">
                  <c:v>5390</c:v>
                </c:pt>
                <c:pt idx="4">
                  <c:v>5319</c:v>
                </c:pt>
              </c:numCache>
            </c:numRef>
          </c:val>
          <c:smooth val="false"/>
        </c:ser>
        <c:ser>
          <c:idx val="1"/>
          <c:order val="1"/>
          <c:tx>
            <c:strRef>
              <c:f>'Unique Victims - youth sex'!$A$4</c:f>
              <c:strCache>
                <c:ptCount val="1"/>
                <c:pt idx="0">
                  <c:v>Females</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28575" cap="rnd">
              <a:solidFill>
                <a:srgbClr val="7CBAC0"/>
              </a:solidFill>
              <a:round/>
            </a:ln>
            <a:effectLst/>
          </c:spPr>
          <c:marker>
            <c:symbol val="circle"/>
            <c:size val="5"/>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7CBAC0"/>
              </a:solidFill>
              <a:ln w="9525">
                <a:solidFill>
                  <a:srgbClr val="7CBAC0"/>
                </a:solidFill>
              </a:ln>
              <a:effectLst/>
            </c:spPr>
          </c:marker>
          <c:dLbl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spcFirstLastPara="true" vertOverflow="ellipsis" vert="horz" wrap="square" lIns="38100" tIns="19050" rIns="38100" bIns="19050" anchor="ctr" anchorCtr="true">
                <a:spAutoFit/>
              </a:bodyPr>
              <a:lstStyle/>
              <a:p>
                <a:pPr>
                  <a:defRPr sz="950" b="false" i="false" u="none" strike="noStrike" kern="1200" baseline="0">
                    <a:solidFill>
                      <a:schemeClr val="tx1">
                        <a:lumMod val="75000"/>
                        <a:lumOff val="25000"/>
                      </a:schemeClr>
                    </a:solidFill>
                    <a:latin typeface="Roboto Condensed Light" panose="02000000000000000000" pitchFamily="2" charset="0"/>
                    <a:ea typeface="Roboto Condensed Light" panose="02000000000000000000" pitchFamily="2" charset="0"/>
                    <a:cs typeface="+mn-cs"/>
                  </a:defRPr>
                </a:pPr>
                <a:endParaRPr lang="en-US"/>
              </a:p>
            </c:txPr>
            <c:dLblPos val="t"/>
            <c:showLegendKey val="false"/>
            <c:showVal val="true"/>
            <c:showCatName val="false"/>
            <c:showSerName val="false"/>
            <c:showPercent val="false"/>
            <c:showBubbleSize val="false"/>
            <c:showLeaderLines val="false"/>
            <c:extLst>
              <c:ext uri="{CE6537A1-D6FC-4f65-9D91-7224C49458BB}">
                <c15:leader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9525" cap="flat" cmpd="sng" algn="ctr">
                      <a:solidFill>
                        <a:schemeClr val="tx1">
                          <a:lumMod val="35000"/>
                          <a:lumOff val="65000"/>
                        </a:schemeClr>
                      </a:solidFill>
                      <a:round/>
                    </a:ln>
                    <a:effectLst/>
                  </c:spPr>
                </c15:leaderLines>
              </c:ext>
            </c:extLst>
          </c:dLbls>
          <c:val>
            <c:numRef>
              <c:f>'Unique Victims - youth sex'!$B$4:$F$4</c:f>
              <c:numCache>
                <c:formatCode>_-* #,##0_-;\-* #,##0_-;_-* "-"??_-;_-@_-</c:formatCode>
                <c:ptCount val="5"/>
                <c:pt idx="0">
                  <c:v>4586</c:v>
                </c:pt>
                <c:pt idx="1">
                  <c:v>5492</c:v>
                </c:pt>
                <c:pt idx="2">
                  <c:v>5677</c:v>
                </c:pt>
                <c:pt idx="3">
                  <c:v>5554</c:v>
                </c:pt>
                <c:pt idx="4">
                  <c:v>5267</c:v>
                </c:pt>
              </c:numCache>
            </c:numRef>
          </c:val>
          <c:smooth val="false"/>
        </c:ser>
        <c:dLbls>
          <c:dLblPos val="b"/>
          <c:showLegendKey val="false"/>
          <c:showVal val="true"/>
          <c:showCatName val="false"/>
          <c:showSerName val="false"/>
          <c:showPercent val="false"/>
          <c:showBubbleSize val="false"/>
        </c:dLbls>
        <c:marker val="true"/>
        <c:smooth val="false"/>
        <c:axId val="-1732934000"/>
        <c:axId val="-1732936176"/>
      </c:lineChart>
      <c:catAx>
        <c:axId val="-1732934000"/>
        <c:scaling>
          <c:orientation val="minMax"/>
        </c:scaling>
        <c:delete val="false"/>
        <c:axPos val="b"/>
        <c:numFmt formatCode="General" sourceLinked="true"/>
        <c:majorTickMark val="none"/>
        <c:minorTickMark val="none"/>
        <c:tickLblPos val="nextTo"/>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w="12700" cap="flat" cmpd="sng" algn="ctr">
            <a:solidFill>
              <a:schemeClr val="tx1">
                <a:lumMod val="15000"/>
                <a:lumOff val="85000"/>
              </a:schemeClr>
            </a:solidFill>
            <a:round/>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60000000" spcFirstLastPara="true" vertOverflow="ellipsis" vert="horz" wrap="square" anchor="ctr" anchorCtr="true"/>
          <a:lstStyle/>
          <a:p>
            <a:pPr>
              <a:defRPr sz="9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crossAx val="-1732936176"/>
        <c:crosses val="autoZero"/>
        <c:auto val="true"/>
        <c:lblAlgn val="ctr"/>
        <c:lblOffset val="100"/>
        <c:noMultiLvlLbl val="false"/>
      </c:catAx>
      <c:valAx>
        <c:axId val="-1732936176"/>
        <c:scaling>
          <c:orientation val="minMax"/>
          <c:min val="2000.0"/>
        </c:scaling>
        <c:delete val="false"/>
        <c:axPos val="l"/>
        <c:majorGrid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12700" cap="flat" cmpd="sng" algn="ctr">
              <a:solidFill>
                <a:schemeClr val="tx1">
                  <a:lumMod val="15000"/>
                  <a:lumOff val="85000"/>
                </a:schemeClr>
              </a:solidFill>
              <a:round/>
            </a:ln>
            <a:effectLst/>
          </c:spPr>
        </c:majorGridlines>
        <c:numFmt formatCode="#,##0" sourceLinked="true"/>
        <c:majorTickMark val="none"/>
        <c:minorTickMark val="none"/>
        <c:tickLblPos val="nextTo"/>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60000000" spcFirstLastPara="true" vertOverflow="ellipsis" vert="horz" wrap="square" anchor="ctr" anchorCtr="true"/>
          <a:lstStyle/>
          <a:p>
            <a:pPr>
              <a:defRPr sz="9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crossAx val="-1732934000"/>
        <c:crosses val="autoZero"/>
        <c:crossBetween val="between"/>
      </c:valA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plotArea>
    <c:legend>
      <c:legendPos val="b"/>
      <c:layout/>
      <c:overlay val="false"/>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spcFirstLastPara="true" vertOverflow="ellipsis" vert="horz" wrap="square" anchor="ctr" anchorCtr="true"/>
        <a:lstStyle/>
        <a:p>
          <a:pPr>
            <a:defRPr sz="950" b="false" i="false" u="none" strike="noStrike" kern="1200" baseline="0">
              <a:solidFill>
                <a:schemeClr val="tx1">
                  <a:lumMod val="65000"/>
                  <a:lumOff val="35000"/>
                </a:schemeClr>
              </a:solidFill>
              <a:latin typeface="Roboto" panose="02000000000000000000" pitchFamily="2" charset="0"/>
              <a:ea typeface="Roboto" panose="02000000000000000000" pitchFamily="2" charset="0"/>
              <a:cs typeface="+mn-cs"/>
            </a:defRPr>
          </a:pPr>
          <a:endParaRPr lang="en-US"/>
        </a:p>
      </c:txPr>
    </c:legend>
    <c:plotVisOnly val="true"/>
    <c:dispBlanksAs val="gap"/>
    <c:showDLblsOverMax val="false"/>
  </c:chart>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chemeClr val="bg1"/>
    </a:solidFill>
    <a:ln w="9525" cap="flat" cmpd="sng" algn="ctr">
      <a:noFill/>
      <a:round/>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a:lstStyle/>
    <a:p>
      <a:pPr>
        <a:defRPr sz="800">
          <a:latin typeface="Roboto" panose="02000000000000000000" pitchFamily="2" charset="0"/>
          <a:ea typeface="Roboto" panose="02000000000000000000" pitchFamily="2" charset="0"/>
        </a:defRPr>
      </a:pPr>
      <a:endParaRPr lang="en-US"/>
    </a:p>
  </c:txPr>
  <c:externalData r:id="rId3">
    <c:autoUpdate val="false"/>
  </c:externalData>
</c:chartSpace>
</file>

<file path=word/charts/chart13.xml><?xml version="1.0" encoding="utf-8"?>
<c:chartSpace xmlns:c="http://schemas.openxmlformats.org/drawingml/2006/chart" xmlns:r="http://schemas.openxmlformats.org/officeDocument/2006/relationships" xmlns:c15="http://schemas.microsoft.com/office/drawing/2012/chart" xmlns:c16="http://schemas.microsoft.com/office/drawing/2014/chart" xmlns:c16ac="http://schemas.microsoft.com/office/drawing/2014/chart/ac" xmlns:a="http://schemas.openxmlformats.org/drawingml/2006/main">
  <c:date1904 val="false"/>
  <c:lang val="en-US"/>
  <c:roundedCorners val="false"/>
  <c:style val="2"/>
  <c:chart>
    <c:autoTitleDeleted val="true"/>
    <c:plotArea>
      <c:layout>
        <c:manualLayout>
          <c:layoutTarget val="inner"/>
          <c:xMode val="edge"/>
          <c:yMode val="edge"/>
          <c:x val="0.07919597708607616"/>
          <c:y val="0.04332840293119592"/>
          <c:w val="0.8966639128163594"/>
          <c:h val="0.7562246511390315"/>
        </c:manualLayout>
      </c:layout>
      <c:lineChart>
        <c:grouping val="standard"/>
        <c:varyColors val="false"/>
        <c:ser>
          <c:idx val="0"/>
          <c:order val="0"/>
          <c:tx>
            <c:strRef>
              <c:f>'Unique Victims - repeat prop'!$A$2</c:f>
              <c:strCache>
                <c:ptCount val="1"/>
                <c:pt idx="0">
                  <c:v>Males</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28575" cap="rnd">
              <a:solidFill>
                <a:srgbClr val="0C344A"/>
              </a:solidFill>
              <a:round/>
            </a:ln>
            <a:effectLst/>
          </c:spPr>
          <c:marker>
            <c:symbol val="circle"/>
            <c:size val="5"/>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0C344A"/>
              </a:solidFill>
              <a:ln w="6350">
                <a:solidFill>
                  <a:srgbClr val="0C344A"/>
                </a:solidFill>
              </a:ln>
              <a:effectLst/>
            </c:spPr>
          </c:marker>
          <c:dPt>
            <c:idx val="0"/>
            <c:marker>
              <c:symbol val="circle"/>
              <c:size val="5"/>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0C344A"/>
                </a:solidFill>
                <a:ln w="6350">
                  <a:solidFill>
                    <a:srgbClr val="0C344A"/>
                  </a:solidFill>
                </a:ln>
                <a:effectLst/>
              </c:spPr>
            </c:marker>
            <c:bubble3D val="false"/>
          </c:dPt>
          <c:dPt>
            <c:idx val="2"/>
            <c:marker>
              <c:symbol val="circle"/>
              <c:size val="5"/>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0C344A"/>
                </a:solidFill>
                <a:ln w="6350">
                  <a:solidFill>
                    <a:srgbClr val="0C344A"/>
                  </a:solidFill>
                </a:ln>
                <a:effectLst/>
              </c:spPr>
            </c:marker>
            <c:bubble3D val="false"/>
          </c:dPt>
          <c:dPt>
            <c:idx val="3"/>
            <c:marker>
              <c:symbol val="circle"/>
              <c:size val="5"/>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0C344A"/>
                </a:solidFill>
                <a:ln w="6350">
                  <a:solidFill>
                    <a:srgbClr val="0C344A"/>
                  </a:solidFill>
                </a:ln>
                <a:effectLst/>
              </c:spPr>
            </c:marker>
            <c:bubble3D val="false"/>
          </c:dPt>
          <c:dPt>
            <c:idx val="4"/>
            <c:marker>
              <c:symbol val="circle"/>
              <c:size val="5"/>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0C344A"/>
                </a:solidFill>
                <a:ln w="6350">
                  <a:solidFill>
                    <a:srgbClr val="0C344A"/>
                  </a:solidFill>
                </a:ln>
                <a:effectLst/>
              </c:spPr>
            </c:marker>
            <c:bubble3D val="false"/>
          </c:dPt>
          <c:dLbl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spcFirstLastPara="true" vertOverflow="ellipsis" vert="horz" wrap="square" lIns="38100" tIns="19050" rIns="38100" bIns="19050" anchor="ctr" anchorCtr="true">
                <a:spAutoFit/>
              </a:bodyPr>
              <a:lstStyle/>
              <a:p>
                <a:pPr>
                  <a:defRPr sz="950" b="false" i="false" u="none" strike="noStrike" kern="1200" baseline="0">
                    <a:solidFill>
                      <a:schemeClr val="tx1">
                        <a:lumMod val="75000"/>
                        <a:lumOff val="25000"/>
                      </a:schemeClr>
                    </a:solidFill>
                    <a:latin typeface="Roboto Condensed Light" panose="02000000000000000000" pitchFamily="2" charset="0"/>
                    <a:ea typeface="Roboto Condensed Light" panose="02000000000000000000" pitchFamily="2" charset="0"/>
                    <a:cs typeface="+mn-cs"/>
                  </a:defRPr>
                </a:pPr>
                <a:endParaRPr lang="en-US"/>
              </a:p>
            </c:txPr>
            <c:dLblPos val="b"/>
            <c:showLegendKey val="false"/>
            <c:showVal val="true"/>
            <c:showCatName val="false"/>
            <c:showSerName val="false"/>
            <c:showPercent val="false"/>
            <c:showBubbleSize val="false"/>
            <c:showLeaderLines val="false"/>
            <c:extLst>
              <c:ext uri="{CE6537A1-D6FC-4f65-9D91-7224C49458BB}">
                <c15:leader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9525" cap="flat" cmpd="sng" algn="ctr">
                      <a:solidFill>
                        <a:schemeClr val="tx1">
                          <a:lumMod val="35000"/>
                          <a:lumOff val="65000"/>
                        </a:schemeClr>
                      </a:solidFill>
                      <a:round/>
                    </a:ln>
                    <a:effectLst/>
                  </c:spPr>
                </c15:leaderLines>
              </c:ext>
            </c:extLst>
          </c:dLbls>
          <c:cat>
            <c:strRef>
              <c:f>'Unique Victims - repeat prop'!$B$1:$F$1</c:f>
              <c:strCache>
                <c:ptCount val="5"/>
                <c:pt idx="0">
                  <c:v>2014–15</c:v>
                </c:pt>
                <c:pt idx="1">
                  <c:v>2015–16</c:v>
                </c:pt>
                <c:pt idx="2">
                  <c:v>2016–17</c:v>
                </c:pt>
                <c:pt idx="3">
                  <c:v>2017–18</c:v>
                </c:pt>
                <c:pt idx="4">
                  <c:v>2018–19</c:v>
                </c:pt>
              </c:strCache>
            </c:strRef>
          </c:cat>
          <c:val>
            <c:numRef>
              <c:f>'Unique Victims - repeat prop'!$B$2:$F$2</c:f>
              <c:numCache>
                <c:formatCode>0.0%</c:formatCode>
                <c:ptCount val="5"/>
                <c:pt idx="0">
                  <c:v>7.3907689276390326E-2</c:v>
                </c:pt>
                <c:pt idx="1">
                  <c:v>7.8382325931238353E-2</c:v>
                </c:pt>
                <c:pt idx="2">
                  <c:v>7.6193049116324463E-2</c:v>
                </c:pt>
                <c:pt idx="3">
                  <c:v>7.3568710399335227E-2</c:v>
                </c:pt>
                <c:pt idx="4">
                  <c:v>7.3936271703873305E-2</c:v>
                </c:pt>
              </c:numCache>
            </c:numRef>
          </c:val>
          <c:smooth val="false"/>
        </c:ser>
        <c:ser>
          <c:idx val="1"/>
          <c:order val="1"/>
          <c:tx>
            <c:strRef>
              <c:f>'Unique Victims - repeat prop'!$A$3</c:f>
              <c:strCache>
                <c:ptCount val="1"/>
                <c:pt idx="0">
                  <c:v>Females</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28575" cap="rnd">
              <a:solidFill>
                <a:srgbClr val="7CBAC0"/>
              </a:solidFill>
              <a:round/>
            </a:ln>
            <a:effectLst/>
          </c:spPr>
          <c:marker>
            <c:symbol val="circle"/>
            <c:size val="5"/>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7CBAC0"/>
              </a:solidFill>
              <a:ln w="6350">
                <a:solidFill>
                  <a:srgbClr val="7CBAC0"/>
                </a:solidFill>
              </a:ln>
              <a:effectLst/>
            </c:spPr>
          </c:marker>
          <c:dLbl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spcFirstLastPara="true" vertOverflow="ellipsis" vert="horz" wrap="square" lIns="38100" tIns="19050" rIns="38100" bIns="19050" anchor="ctr" anchorCtr="true">
                <a:spAutoFit/>
              </a:bodyPr>
              <a:lstStyle/>
              <a:p>
                <a:pPr>
                  <a:defRPr sz="950" b="false" i="false" u="none" strike="noStrike" kern="1200" baseline="0">
                    <a:solidFill>
                      <a:schemeClr val="tx1">
                        <a:lumMod val="75000"/>
                        <a:lumOff val="25000"/>
                      </a:schemeClr>
                    </a:solidFill>
                    <a:latin typeface="Roboto Condensed Light" panose="02000000000000000000" pitchFamily="2" charset="0"/>
                    <a:ea typeface="Roboto Condensed Light" panose="02000000000000000000" pitchFamily="2" charset="0"/>
                    <a:cs typeface="+mn-cs"/>
                  </a:defRPr>
                </a:pPr>
                <a:endParaRPr lang="en-US"/>
              </a:p>
            </c:txPr>
            <c:dLblPos val="t"/>
            <c:showLegendKey val="false"/>
            <c:showVal val="true"/>
            <c:showCatName val="false"/>
            <c:showSerName val="false"/>
            <c:showPercent val="false"/>
            <c:showBubbleSize val="false"/>
            <c:showLeaderLines val="false"/>
            <c:extLst>
              <c:ext uri="{CE6537A1-D6FC-4f65-9D91-7224C49458BB}">
                <c15:leader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9525" cap="flat" cmpd="sng" algn="ctr">
                      <a:solidFill>
                        <a:schemeClr val="tx1">
                          <a:lumMod val="35000"/>
                          <a:lumOff val="65000"/>
                        </a:schemeClr>
                      </a:solidFill>
                      <a:round/>
                    </a:ln>
                    <a:effectLst/>
                  </c:spPr>
                </c15:leaderLines>
              </c:ext>
            </c:extLst>
          </c:dLbls>
          <c:cat>
            <c:strRef>
              <c:f>'Unique Victims - repeat prop'!$B$1:$F$1</c:f>
              <c:strCache>
                <c:ptCount val="5"/>
                <c:pt idx="0">
                  <c:v>2014–15</c:v>
                </c:pt>
                <c:pt idx="1">
                  <c:v>2015–16</c:v>
                </c:pt>
                <c:pt idx="2">
                  <c:v>2016–17</c:v>
                </c:pt>
                <c:pt idx="3">
                  <c:v>2017–18</c:v>
                </c:pt>
                <c:pt idx="4">
                  <c:v>2018–19</c:v>
                </c:pt>
              </c:strCache>
            </c:strRef>
          </c:cat>
          <c:val>
            <c:numRef>
              <c:f>'Unique Victims - repeat prop'!$B$3:$F$3</c:f>
              <c:numCache>
                <c:formatCode>0.0%</c:formatCode>
                <c:ptCount val="5"/>
                <c:pt idx="0">
                  <c:v>8.887395043251059E-2</c:v>
                </c:pt>
                <c:pt idx="1">
                  <c:v>9.3057624011914308E-2</c:v>
                </c:pt>
                <c:pt idx="2">
                  <c:v>9.110867178924259E-2</c:v>
                </c:pt>
                <c:pt idx="3">
                  <c:v>9.1413181242078576E-2</c:v>
                </c:pt>
                <c:pt idx="4">
                  <c:v>9.2696526172921026E-2</c:v>
                </c:pt>
              </c:numCache>
            </c:numRef>
          </c:val>
          <c:smooth val="false"/>
        </c:ser>
        <c:ser>
          <c:idx val="2"/>
          <c:order val="2"/>
          <c:tx>
            <c:strRef>
              <c:f>'Unique Victims - repeat prop'!$A$4</c:f>
              <c:strCache>
                <c:ptCount val="1"/>
                <c:pt idx="0">
                  <c:v>Organisations</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28575" cap="rnd">
              <a:solidFill>
                <a:srgbClr val="C5C6C6"/>
              </a:solidFill>
              <a:round/>
            </a:ln>
            <a:effectLst/>
          </c:spPr>
          <c:marker>
            <c:symbol val="circle"/>
            <c:size val="5"/>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C5C6C6"/>
              </a:solidFill>
              <a:ln w="9525">
                <a:solidFill>
                  <a:srgbClr val="C5C6C6"/>
                </a:solidFill>
              </a:ln>
              <a:effectLst/>
            </c:spPr>
          </c:marker>
          <c:dLbl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spcFirstLastPara="true" vertOverflow="ellipsis" vert="horz" wrap="square" lIns="38100" tIns="19050" rIns="38100" bIns="19050" anchor="ctr" anchorCtr="true">
                <a:spAutoFit/>
              </a:bodyPr>
              <a:lstStyle/>
              <a:p>
                <a:pPr>
                  <a:defRPr sz="950" b="false" i="false" u="none" strike="noStrike" kern="1200" baseline="0">
                    <a:solidFill>
                      <a:schemeClr val="tx1">
                        <a:lumMod val="75000"/>
                        <a:lumOff val="25000"/>
                      </a:schemeClr>
                    </a:solidFill>
                    <a:latin typeface="Roboto Condensed Light" panose="02000000000000000000" pitchFamily="2" charset="0"/>
                    <a:ea typeface="Roboto Condensed Light" panose="02000000000000000000" pitchFamily="2" charset="0"/>
                    <a:cs typeface="+mn-cs"/>
                  </a:defRPr>
                </a:pPr>
                <a:endParaRPr lang="en-US"/>
              </a:p>
            </c:txPr>
            <c:dLblPos val="t"/>
            <c:showLegendKey val="false"/>
            <c:showVal val="true"/>
            <c:showCatName val="false"/>
            <c:showSerName val="false"/>
            <c:showPercent val="false"/>
            <c:showBubbleSize val="false"/>
            <c:showLeaderLines val="false"/>
            <c:extLst>
              <c:ext uri="{CE6537A1-D6FC-4f65-9D91-7224C49458BB}">
                <c15:leader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9525" cap="flat" cmpd="sng" algn="ctr">
                      <a:solidFill>
                        <a:schemeClr val="tx1">
                          <a:lumMod val="35000"/>
                          <a:lumOff val="65000"/>
                        </a:schemeClr>
                      </a:solidFill>
                      <a:round/>
                    </a:ln>
                    <a:effectLst/>
                  </c:spPr>
                </c15:leaderLines>
              </c:ext>
            </c:extLst>
          </c:dLbls>
          <c:cat>
            <c:strRef>
              <c:f>'Unique Victims - repeat prop'!$B$1:$F$1</c:f>
              <c:strCache>
                <c:ptCount val="5"/>
                <c:pt idx="0">
                  <c:v>2014–15</c:v>
                </c:pt>
                <c:pt idx="1">
                  <c:v>2015–16</c:v>
                </c:pt>
                <c:pt idx="2">
                  <c:v>2016–17</c:v>
                </c:pt>
                <c:pt idx="3">
                  <c:v>2017–18</c:v>
                </c:pt>
                <c:pt idx="4">
                  <c:v>2018–19</c:v>
                </c:pt>
              </c:strCache>
            </c:strRef>
          </c:cat>
          <c:val>
            <c:numRef>
              <c:f>'Unique Victims - repeat prop'!$B$4:$F$4</c:f>
              <c:numCache>
                <c:formatCode>0.0%</c:formatCode>
                <c:ptCount val="5"/>
                <c:pt idx="0">
                  <c:v>0.26355720095943269</c:v>
                </c:pt>
                <c:pt idx="1">
                  <c:v>0.2770995019112707</c:v>
                </c:pt>
                <c:pt idx="2">
                  <c:v>0.28226863994005247</c:v>
                </c:pt>
                <c:pt idx="3">
                  <c:v>0.27916309121195293</c:v>
                </c:pt>
                <c:pt idx="4">
                  <c:v>0.27488247998983611</c:v>
                </c:pt>
              </c:numCache>
            </c:numRef>
          </c:val>
          <c:smooth val="false"/>
        </c:ser>
        <c:dLbls>
          <c:dLblPos val="t"/>
          <c:showLegendKey val="false"/>
          <c:showVal val="true"/>
          <c:showCatName val="false"/>
          <c:showSerName val="false"/>
          <c:showPercent val="false"/>
          <c:showBubbleSize val="false"/>
        </c:dLbls>
        <c:marker val="true"/>
        <c:smooth val="false"/>
        <c:axId val="-1732933456"/>
        <c:axId val="-1732932912"/>
      </c:lineChart>
      <c:catAx>
        <c:axId val="-1732933456"/>
        <c:scaling>
          <c:orientation val="minMax"/>
        </c:scaling>
        <c:delete val="false"/>
        <c:axPos val="b"/>
        <c:numFmt formatCode="General" sourceLinked="true"/>
        <c:majorTickMark val="none"/>
        <c:minorTickMark val="none"/>
        <c:tickLblPos val="nextTo"/>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w="12700" cap="flat" cmpd="sng" algn="ctr">
            <a:solidFill>
              <a:schemeClr val="tx1">
                <a:lumMod val="15000"/>
                <a:lumOff val="85000"/>
              </a:schemeClr>
            </a:solidFill>
            <a:round/>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60000000" spcFirstLastPara="true" vertOverflow="ellipsis" vert="horz" wrap="square" anchor="ctr" anchorCtr="true"/>
          <a:lstStyle/>
          <a:p>
            <a:pPr>
              <a:defRPr sz="9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crossAx val="-1732932912"/>
        <c:crosses val="autoZero"/>
        <c:auto val="true"/>
        <c:lblAlgn val="ctr"/>
        <c:lblOffset val="100"/>
        <c:noMultiLvlLbl val="false"/>
      </c:catAx>
      <c:valAx>
        <c:axId val="-1732932912"/>
        <c:scaling>
          <c:orientation val="minMax"/>
        </c:scaling>
        <c:delete val="false"/>
        <c:axPos val="l"/>
        <c:majorGrid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12700" cap="flat" cmpd="sng" algn="ctr">
              <a:solidFill>
                <a:schemeClr val="tx1">
                  <a:lumMod val="15000"/>
                  <a:lumOff val="85000"/>
                </a:schemeClr>
              </a:solidFill>
              <a:round/>
            </a:ln>
            <a:effectLst/>
          </c:spPr>
        </c:majorGridlines>
        <c:numFmt formatCode="0%" sourceLinked="false"/>
        <c:majorTickMark val="none"/>
        <c:minorTickMark val="none"/>
        <c:tickLblPos val="nextTo"/>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60000000" spcFirstLastPara="true" vertOverflow="ellipsis" vert="horz" wrap="square" anchor="ctr" anchorCtr="true"/>
          <a:lstStyle/>
          <a:p>
            <a:pPr>
              <a:defRPr sz="9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crossAx val="-1732933456"/>
        <c:crosses val="autoZero"/>
        <c:crossBetween val="between"/>
      </c:valA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plotArea>
    <c:legend>
      <c:legendPos val="b"/>
      <c:layout/>
      <c:overlay val="false"/>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spcFirstLastPara="true" vertOverflow="ellipsis" vert="horz" wrap="square" anchor="ctr" anchorCtr="true"/>
        <a:lstStyle/>
        <a:p>
          <a:pPr>
            <a:defRPr sz="9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legend>
    <c:plotVisOnly val="true"/>
    <c:dispBlanksAs val="gap"/>
    <c:showDLblsOverMax val="false"/>
  </c:chart>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chemeClr val="bg1"/>
    </a:solidFill>
    <a:ln w="9525" cap="flat" cmpd="sng" algn="ctr">
      <a:noFill/>
      <a:round/>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a:lstStyle/>
    <a:p>
      <a:pPr>
        <a:defRPr/>
      </a:pPr>
      <a:endParaRPr lang="en-US"/>
    </a:p>
  </c:txPr>
  <c:externalData r:id="rId3">
    <c:autoUpdate val="false"/>
  </c:externalData>
</c:chartSpace>
</file>

<file path=word/charts/chart2.xml><?xml version="1.0" encoding="utf-8"?>
<c:chartSpace xmlns:c="http://schemas.openxmlformats.org/drawingml/2006/chart" xmlns:r="http://schemas.openxmlformats.org/officeDocument/2006/relationships" xmlns:c15="http://schemas.microsoft.com/office/drawing/2012/chart" xmlns:c16="http://schemas.microsoft.com/office/drawing/2014/chart" xmlns:c16ac="http://schemas.microsoft.com/office/drawing/2014/chart/ac" xmlns:a="http://schemas.openxmlformats.org/drawingml/2006/main">
  <c:date1904 val="false"/>
  <c:lang val="en-US"/>
  <c:roundedCorners val="false"/>
  <c:style val="2"/>
  <c:chart>
    <c:autoTitleDeleted val="false"/>
    <c:plotArea>
      <c:layout/>
      <c:barChart>
        <c:barDir val="col"/>
        <c:grouping val="percentStacked"/>
        <c:varyColors val="false"/>
        <c:ser>
          <c:idx val="1"/>
          <c:order val="0"/>
          <c:tx>
            <c:strRef>
              <c:f>'Unique Off - Sex'!$A$2</c:f>
              <c:strCache>
                <c:ptCount val="1"/>
                <c:pt idx="0">
                  <c:v>Males</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0C344A"/>
            </a:solidFill>
            <a:ln w="25400">
              <a:noFill/>
            </a:ln>
          </c:spPr>
          <c:invertIfNegative val="false"/>
          <c:dLbl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wrap="square" lIns="38100" tIns="19050" rIns="38100" bIns="19050" anchor="ctr">
                <a:spAutoFit/>
              </a:bodyPr>
              <a:lstStyle/>
              <a:p>
                <a:pPr>
                  <a:defRPr sz="950">
                    <a:solidFill>
                      <a:schemeClr val="bg1"/>
                    </a:solidFill>
                  </a:defRPr>
                </a:pPr>
                <a:endParaRPr lang="en-US"/>
              </a:p>
            </c:txPr>
            <c:dLblPos val="ctr"/>
            <c:showLegendKey val="false"/>
            <c:showVal val="true"/>
            <c:showCatName val="false"/>
            <c:showSerName val="false"/>
            <c:showPercent val="false"/>
            <c:showBubbleSize val="false"/>
            <c:showLeaderLines val="false"/>
            <c:extLst>
              <c:ext uri="{CE6537A1-D6FC-4f65-9D91-7224C49458BB}">
                <c15:showLeaderLines val="true"/>
              </c:ext>
            </c:extLst>
          </c:dLbls>
          <c:cat>
            <c:strRef>
              <c:f>'Unique Off - Sex'!$B$1:$F$1</c:f>
              <c:strCache>
                <c:ptCount val="5"/>
                <c:pt idx="0">
                  <c:v>2014–15</c:v>
                </c:pt>
                <c:pt idx="1">
                  <c:v>2015–16</c:v>
                </c:pt>
                <c:pt idx="2">
                  <c:v>2016–17</c:v>
                </c:pt>
                <c:pt idx="3">
                  <c:v>2017–18</c:v>
                </c:pt>
                <c:pt idx="4">
                  <c:v>2018–19</c:v>
                </c:pt>
              </c:strCache>
            </c:strRef>
          </c:cat>
          <c:val>
            <c:numRef>
              <c:f>'Unique Off - Sex'!$B$2:$F$2</c:f>
              <c:numCache>
                <c:formatCode>0.0%</c:formatCode>
                <c:ptCount val="5"/>
                <c:pt idx="0">
                  <c:v>0.78332575068243859</c:v>
                </c:pt>
                <c:pt idx="1">
                  <c:v>0.77700745164024643</c:v>
                </c:pt>
                <c:pt idx="2">
                  <c:v>0.77405397293849887</c:v>
                </c:pt>
                <c:pt idx="3">
                  <c:v>0.77272727272727271</c:v>
                </c:pt>
                <c:pt idx="4">
                  <c:v>0.7660315629670601</c:v>
                </c:pt>
              </c:numCache>
            </c:numRef>
          </c:val>
        </c:ser>
        <c:ser>
          <c:idx val="0"/>
          <c:order val="1"/>
          <c:tx>
            <c:strRef>
              <c:f>'Unique Off - Sex'!$A$3</c:f>
              <c:strCache>
                <c:ptCount val="1"/>
                <c:pt idx="0">
                  <c:v>Females</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7CBAC0"/>
            </a:solidFill>
            <a:ln w="25400">
              <a:noFill/>
            </a:ln>
          </c:spPr>
          <c:invertIfNegative val="false"/>
          <c:dLbl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wrap="square" lIns="38100" tIns="19050" rIns="38100" bIns="19050" anchor="ctr">
                <a:spAutoFit/>
              </a:bodyPr>
              <a:lstStyle/>
              <a:p>
                <a:pPr>
                  <a:defRPr sz="950">
                    <a:solidFill>
                      <a:schemeClr val="bg1"/>
                    </a:solidFill>
                  </a:defRPr>
                </a:pPr>
                <a:endParaRPr lang="en-US"/>
              </a:p>
            </c:txPr>
            <c:dLblPos val="ctr"/>
            <c:showLegendKey val="false"/>
            <c:showVal val="true"/>
            <c:showCatName val="false"/>
            <c:showSerName val="false"/>
            <c:showPercent val="false"/>
            <c:showBubbleSize val="false"/>
            <c:showLeaderLines val="false"/>
            <c:extLst>
              <c:ext uri="{CE6537A1-D6FC-4f65-9D91-7224C49458BB}">
                <c15:showLeaderLines val="true"/>
              </c:ext>
            </c:extLst>
          </c:dLbls>
          <c:cat>
            <c:strRef>
              <c:f>'Unique Off - Sex'!$B$1:$F$1</c:f>
              <c:strCache>
                <c:ptCount val="5"/>
                <c:pt idx="0">
                  <c:v>2014–15</c:v>
                </c:pt>
                <c:pt idx="1">
                  <c:v>2015–16</c:v>
                </c:pt>
                <c:pt idx="2">
                  <c:v>2016–17</c:v>
                </c:pt>
                <c:pt idx="3">
                  <c:v>2017–18</c:v>
                </c:pt>
                <c:pt idx="4">
                  <c:v>2018–19</c:v>
                </c:pt>
              </c:strCache>
            </c:strRef>
          </c:cat>
          <c:val>
            <c:numRef>
              <c:f>'Unique Off - Sex'!$B$3:$F$3</c:f>
              <c:numCache>
                <c:formatCode>0.0%</c:formatCode>
                <c:ptCount val="5"/>
                <c:pt idx="0">
                  <c:v>0.21667424931756141</c:v>
                </c:pt>
                <c:pt idx="1">
                  <c:v>0.22299254835975355</c:v>
                </c:pt>
                <c:pt idx="2">
                  <c:v>0.22594602706150113</c:v>
                </c:pt>
                <c:pt idx="3">
                  <c:v>0.22727272727272727</c:v>
                </c:pt>
                <c:pt idx="4">
                  <c:v>0.23387428948018782</c:v>
                </c:pt>
              </c:numCache>
            </c:numRef>
          </c:val>
        </c:ser>
        <c:dLbls>
          <c:dLblPos val="ctr"/>
          <c:showLegendKey val="false"/>
          <c:showVal val="true"/>
          <c:showCatName val="false"/>
          <c:showSerName val="false"/>
          <c:showPercent val="false"/>
          <c:showBubbleSize val="false"/>
        </c:dLbls>
        <c:gapWidth val="150"/>
        <c:overlap val="100"/>
        <c:axId val="-1732957392"/>
        <c:axId val="-1732949232"/>
      </c:barChart>
      <c:catAx>
        <c:axId val="-1732957392"/>
        <c:scaling>
          <c:orientation val="minMax"/>
        </c:scaling>
        <c:delete val="false"/>
        <c:axPos val="b"/>
        <c:numFmt formatCode="General" sourceLinked="true"/>
        <c:majorTickMark val="out"/>
        <c:minorTickMark val="none"/>
        <c:tickLblPos val="nextTo"/>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w="9525" cap="flat" cmpd="sng" algn="ctr">
            <a:solidFill>
              <a:schemeClr val="tx1">
                <a:lumMod val="15000"/>
                <a:lumOff val="85000"/>
              </a:schemeClr>
            </a:solidFill>
            <a:round/>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vert="horz"/>
          <a:lstStyle/>
          <a:p>
            <a:pPr>
              <a:defRPr sz="950"/>
            </a:pPr>
            <a:endParaRPr lang="en-US"/>
          </a:p>
        </c:txPr>
        <c:crossAx val="-1732949232"/>
        <c:crosses val="autoZero"/>
        <c:auto val="true"/>
        <c:lblAlgn val="ctr"/>
        <c:lblOffset val="100"/>
        <c:noMultiLvlLbl val="false"/>
      </c:catAx>
      <c:valAx>
        <c:axId val="-1732949232"/>
        <c:scaling>
          <c:orientation val="minMax"/>
        </c:scaling>
        <c:delete val="false"/>
        <c:axPos val="l"/>
        <c:majorGrid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9525" cap="flat" cmpd="sng" algn="ctr">
              <a:solidFill>
                <a:schemeClr val="tx1">
                  <a:lumMod val="15000"/>
                  <a:lumOff val="85000"/>
                </a:schemeClr>
              </a:solidFill>
              <a:round/>
            </a:ln>
            <a:effectLst/>
          </c:spPr>
        </c:majorGridlines>
        <c:numFmt formatCode="0%" sourceLinked="true"/>
        <c:majorTickMark val="none"/>
        <c:minorTickMark val="none"/>
        <c:tickLblPos val="nextTo"/>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6350">
            <a:noFill/>
          </a:ln>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vert="horz"/>
          <a:lstStyle/>
          <a:p>
            <a:pPr algn="ctr">
              <a:defRPr lang="en-AU" sz="9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crossAx val="-1732957392"/>
        <c:crosses val="autoZero"/>
        <c:crossBetween val="between"/>
      </c:valA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w="25400">
          <a:noFill/>
        </a:ln>
      </c:spPr>
    </c:plotArea>
    <c:legend>
      <c:legendPos val="b"/>
      <c:layout/>
      <c:overlay val="false"/>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w="25400">
          <a:noFill/>
        </a:ln>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a:lstStyle/>
        <a:p>
          <a:pPr algn="ctr">
            <a:defRPr lang="en-AU" sz="9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legend>
    <c:plotVisOnly val="true"/>
    <c:dispBlanksAs val="zero"/>
    <c:showDLblsOverMax val="false"/>
  </c:chart>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chemeClr val="bg1"/>
    </a:solidFill>
    <a:ln w="9525" cap="flat" cmpd="sng" algn="ctr">
      <a:noFill/>
      <a:round/>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a:lstStyle/>
    <a:p>
      <a:pPr>
        <a:defRPr sz="1000" b="false" i="false" u="none" strike="noStrike" baseline="0">
          <a:solidFill>
            <a:srgbClr val="000000"/>
          </a:solidFill>
          <a:latin typeface="Roboto Condensed Light" panose="02000000000000000000" pitchFamily="2" charset="0"/>
          <a:ea typeface="Roboto Condensed Light" panose="02000000000000000000" pitchFamily="2" charset="0"/>
          <a:cs typeface="Calibri"/>
        </a:defRPr>
      </a:pPr>
      <a:endParaRPr lang="en-US"/>
    </a:p>
  </c:txPr>
  <c:externalData r:id="rId1">
    <c:autoUpdate val="false"/>
  </c:externalData>
</c:chartSpace>
</file>

<file path=word/charts/chart3.xml><?xml version="1.0" encoding="utf-8"?>
<c:chartSpace xmlns:c="http://schemas.openxmlformats.org/drawingml/2006/chart" xmlns:r="http://schemas.openxmlformats.org/officeDocument/2006/relationships" xmlns:c15="http://schemas.microsoft.com/office/drawing/2012/chart" xmlns:c16="http://schemas.microsoft.com/office/drawing/2014/chart" xmlns:c16ac="http://schemas.microsoft.com/office/drawing/2014/chart/ac" xmlns:a="http://schemas.openxmlformats.org/drawingml/2006/main">
  <c:date1904 val="false"/>
  <c:lang val="en-US"/>
  <c:roundedCorners val="false"/>
  <c:style val="2"/>
  <c:clrMapOv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bg1="lt1" tx1="dk1" bg2="lt2" tx2="dk2" accent1="accent1" accent2="accent2" accent3="accent3" accent4="accent4" accent5="accent5" accent6="accent6" hlink="hlink" folHlink="folHlink"/>
  <c:chart>
    <c:autoTitleDeleted val="true"/>
    <c:plotArea>
      <c:layout>
        <c:manualLayout>
          <c:layoutTarget val="inner"/>
          <c:xMode val="edge"/>
          <c:yMode val="edge"/>
          <c:x val="0.050788449174599154"/>
          <c:y val="0.09959963768115943"/>
          <c:w val="0.8916153846153846"/>
          <c:h val="0.8506494565217392"/>
        </c:manualLayout>
      </c:layout>
      <c:barChart>
        <c:barDir val="bar"/>
        <c:grouping val="clustered"/>
        <c:varyColors val="false"/>
        <c:ser>
          <c:idx val="1"/>
          <c:order val="1"/>
          <c:tx>
            <c:strRef>
              <c:f>'Unique Off - Age sex'!$C$1</c:f>
              <c:strCache>
                <c:ptCount val="1"/>
                <c:pt idx="0">
                  <c:v>Males</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0C344A"/>
            </a:solidFill>
            <a:ln>
              <a:solidFill>
                <a:srgbClr val="0C344A"/>
              </a:solidFill>
            </a:ln>
            <a:effectLst/>
          </c:spPr>
          <c:invertIfNegative val="false"/>
          <c:dLbls>
            <c:dLbl>
              <c:idx val="2"/>
              <c:layout>
                <c:manualLayout>
                  <c:x val="-0.0036472068554737626"/>
                  <c:y val="0.00452279202279194"/>
                </c:manualLayout>
              </c:layout>
              <c:showLegendKey val="false"/>
              <c:showVal val="true"/>
              <c:showCatName val="false"/>
              <c:showSerName val="false"/>
              <c:showPercent val="false"/>
              <c:showBubbleSize val="false"/>
              <c:extLst>
                <c:ext uri="{CE6537A1-D6FC-4f65-9D91-7224C49458BB}">
                  <c15:layout/>
                </c:ext>
              </c:extLst>
            </c:dLbl>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spcFirstLastPara="true" vertOverflow="ellipsis" vert="horz" wrap="square" anchor="ctr" anchorCtr="true"/>
              <a:lstStyle/>
              <a:p>
                <a:pPr>
                  <a:defRPr sz="9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showLegendKey val="false"/>
            <c:showVal val="true"/>
            <c:showCatName val="false"/>
            <c:showSerName val="false"/>
            <c:showPercent val="false"/>
            <c:showBubbleSize val="false"/>
            <c:showLeaderLines val="false"/>
            <c:extLst>
              <c:ext uri="{CE6537A1-D6FC-4f65-9D91-7224C49458BB}">
                <c15:leader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9525" cap="flat" cmpd="sng" algn="ctr">
                      <a:solidFill>
                        <a:schemeClr val="tx1">
                          <a:lumMod val="35000"/>
                          <a:lumOff val="65000"/>
                        </a:schemeClr>
                      </a:solidFill>
                      <a:round/>
                    </a:ln>
                    <a:effectLst/>
                  </c:spPr>
                </c15:leaderLines>
              </c:ext>
            </c:extLst>
          </c:dLbls>
          <c:cat>
            <c:strRef>
              <c:f>'Unique Off - Age sex'!$A$2:$A$13</c:f>
              <c:strCache>
                <c:ptCount val="12"/>
                <c:pt idx="0">
                  <c:v>10–14</c:v>
                </c:pt>
                <c:pt idx="1">
                  <c:v>15–19</c:v>
                </c:pt>
                <c:pt idx="2">
                  <c:v>20–24</c:v>
                </c:pt>
                <c:pt idx="3">
                  <c:v>25–29</c:v>
                </c:pt>
                <c:pt idx="4">
                  <c:v>30–34</c:v>
                </c:pt>
                <c:pt idx="5">
                  <c:v>35–39</c:v>
                </c:pt>
                <c:pt idx="6">
                  <c:v>40–44</c:v>
                </c:pt>
                <c:pt idx="7">
                  <c:v>45–49</c:v>
                </c:pt>
                <c:pt idx="8">
                  <c:v>50–54</c:v>
                </c:pt>
                <c:pt idx="9">
                  <c:v>55–59</c:v>
                </c:pt>
                <c:pt idx="10">
                  <c:v>60–64</c:v>
                </c:pt>
                <c:pt idx="11">
                  <c:v>65 +</c:v>
                </c:pt>
              </c:strCache>
            </c:strRef>
          </c:cat>
          <c:val>
            <c:numRef>
              <c:f>'Unique Off - Age sex'!$C$2:$C$13</c:f>
              <c:numCache>
                <c:formatCode>#,##0</c:formatCode>
                <c:ptCount val="12"/>
                <c:pt idx="0">
                  <c:v>1487</c:v>
                </c:pt>
                <c:pt idx="1">
                  <c:v>7124</c:v>
                </c:pt>
                <c:pt idx="2">
                  <c:v>9373</c:v>
                </c:pt>
                <c:pt idx="3">
                  <c:v>9420</c:v>
                </c:pt>
                <c:pt idx="4">
                  <c:v>8618</c:v>
                </c:pt>
                <c:pt idx="5">
                  <c:v>7822</c:v>
                </c:pt>
                <c:pt idx="6">
                  <c:v>6514</c:v>
                </c:pt>
                <c:pt idx="7">
                  <c:v>5569</c:v>
                </c:pt>
                <c:pt idx="8">
                  <c:v>3556</c:v>
                </c:pt>
                <c:pt idx="9">
                  <c:v>2121</c:v>
                </c:pt>
                <c:pt idx="10">
                  <c:v>1231</c:v>
                </c:pt>
                <c:pt idx="11">
                  <c:v>1727</c:v>
                </c:pt>
              </c:numCache>
            </c:numRef>
          </c:val>
        </c:ser>
        <c:dLbls>
          <c:showLegendKey val="false"/>
          <c:showVal val="false"/>
          <c:showCatName val="false"/>
          <c:showSerName val="false"/>
          <c:showPercent val="false"/>
          <c:showBubbleSize val="false"/>
        </c:dLbls>
        <c:gapWidth val="100"/>
        <c:axId val="-1732954128"/>
        <c:axId val="-1732953040"/>
      </c:barChart>
      <c:barChart>
        <c:barDir val="bar"/>
        <c:grouping val="clustered"/>
        <c:varyColors val="false"/>
        <c:ser>
          <c:idx val="0"/>
          <c:order val="0"/>
          <c:tx>
            <c:strRef>
              <c:f>'Unique Off - Age sex'!$B$1</c:f>
              <c:strCache>
                <c:ptCount val="1"/>
                <c:pt idx="0">
                  <c:v>Females</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7CBAC0"/>
            </a:solidFill>
            <a:ln>
              <a:solidFill>
                <a:srgbClr val="7CBAC0"/>
              </a:solidFill>
            </a:ln>
            <a:effectLst/>
          </c:spPr>
          <c:invertIfNegative val="false"/>
          <c:dLbl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spcFirstLastPara="true" vertOverflow="ellipsis" vert="horz" wrap="square" anchor="ctr" anchorCtr="true"/>
              <a:lstStyle/>
              <a:p>
                <a:pPr>
                  <a:defRPr sz="9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showLegendKey val="false"/>
            <c:showVal val="true"/>
            <c:showCatName val="false"/>
            <c:showSerName val="false"/>
            <c:showPercent val="false"/>
            <c:showBubbleSize val="false"/>
            <c:showLeaderLines val="false"/>
            <c:extLst>
              <c:ext uri="{CE6537A1-D6FC-4f65-9D91-7224C49458BB}">
                <c15:leader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9525" cap="flat" cmpd="sng" algn="ctr">
                      <a:solidFill>
                        <a:schemeClr val="tx1">
                          <a:lumMod val="35000"/>
                          <a:lumOff val="65000"/>
                        </a:schemeClr>
                      </a:solidFill>
                      <a:round/>
                    </a:ln>
                    <a:effectLst/>
                  </c:spPr>
                </c15:leaderLines>
              </c:ext>
            </c:extLst>
          </c:dLbls>
          <c:cat>
            <c:strRef>
              <c:f>'Unique Off - Age sex'!$A$2:$A$13</c:f>
              <c:strCache>
                <c:ptCount val="12"/>
                <c:pt idx="0">
                  <c:v>10–14</c:v>
                </c:pt>
                <c:pt idx="1">
                  <c:v>15–19</c:v>
                </c:pt>
                <c:pt idx="2">
                  <c:v>20–24</c:v>
                </c:pt>
                <c:pt idx="3">
                  <c:v>25–29</c:v>
                </c:pt>
                <c:pt idx="4">
                  <c:v>30–34</c:v>
                </c:pt>
                <c:pt idx="5">
                  <c:v>35–39</c:v>
                </c:pt>
                <c:pt idx="6">
                  <c:v>40–44</c:v>
                </c:pt>
                <c:pt idx="7">
                  <c:v>45–49</c:v>
                </c:pt>
                <c:pt idx="8">
                  <c:v>50–54</c:v>
                </c:pt>
                <c:pt idx="9">
                  <c:v>55–59</c:v>
                </c:pt>
                <c:pt idx="10">
                  <c:v>60–64</c:v>
                </c:pt>
                <c:pt idx="11">
                  <c:v>65 +</c:v>
                </c:pt>
              </c:strCache>
            </c:strRef>
          </c:cat>
          <c:val>
            <c:numRef>
              <c:f>'Unique Off - Age sex'!$B$2:$B$13</c:f>
              <c:numCache>
                <c:formatCode>#,##0</c:formatCode>
                <c:ptCount val="12"/>
                <c:pt idx="0">
                  <c:v>766</c:v>
                </c:pt>
                <c:pt idx="1">
                  <c:v>2418</c:v>
                </c:pt>
                <c:pt idx="2">
                  <c:v>2738</c:v>
                </c:pt>
                <c:pt idx="3">
                  <c:v>2823</c:v>
                </c:pt>
                <c:pt idx="4">
                  <c:v>2610</c:v>
                </c:pt>
                <c:pt idx="5">
                  <c:v>2312</c:v>
                </c:pt>
                <c:pt idx="6">
                  <c:v>1914</c:v>
                </c:pt>
                <c:pt idx="7">
                  <c:v>1660</c:v>
                </c:pt>
                <c:pt idx="8">
                  <c:v>1060</c:v>
                </c:pt>
                <c:pt idx="9">
                  <c:v>617</c:v>
                </c:pt>
                <c:pt idx="10">
                  <c:v>330</c:v>
                </c:pt>
                <c:pt idx="11">
                  <c:v>370</c:v>
                </c:pt>
              </c:numCache>
            </c:numRef>
          </c:val>
        </c:ser>
        <c:dLbls>
          <c:showLegendKey val="false"/>
          <c:showVal val="false"/>
          <c:showCatName val="false"/>
          <c:showSerName val="false"/>
          <c:showPercent val="false"/>
          <c:showBubbleSize val="false"/>
        </c:dLbls>
        <c:gapWidth val="100"/>
        <c:axId val="-1732952496"/>
        <c:axId val="-1732947600"/>
      </c:barChart>
      <c:catAx>
        <c:axId val="-1732954128"/>
        <c:scaling>
          <c:orientation val="minMax"/>
        </c:scaling>
        <c:delete val="false"/>
        <c:axPos val="r"/>
        <c:numFmt formatCode="General" sourceLinked="true"/>
        <c:majorTickMark val="none"/>
        <c:minorTickMark val="none"/>
        <c:tickLblPos val="high"/>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w="9525" cap="flat" cmpd="sng" algn="ctr">
            <a:solidFill>
              <a:schemeClr val="tx1">
                <a:lumMod val="15000"/>
                <a:lumOff val="85000"/>
              </a:schemeClr>
            </a:solidFill>
            <a:round/>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60000000" spcFirstLastPara="true" vertOverflow="ellipsis" vert="horz" wrap="square" anchor="ctr" anchorCtr="true"/>
          <a:lstStyle/>
          <a:p>
            <a:pPr>
              <a:defRPr sz="9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crossAx val="-1732953040"/>
        <c:crosses val="autoZero"/>
        <c:auto val="true"/>
        <c:lblAlgn val="ctr"/>
        <c:lblOffset val="100"/>
        <c:noMultiLvlLbl val="false"/>
      </c:catAx>
      <c:valAx>
        <c:axId val="-1732953040"/>
        <c:scaling>
          <c:orientation val="maxMin"/>
          <c:max val="12000.0"/>
          <c:min val="-5000.0"/>
        </c:scaling>
        <c:delete val="false"/>
        <c:axPos val="b"/>
        <c:majorGrid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12700" cap="flat" cmpd="sng" algn="ctr">
              <a:solidFill>
                <a:schemeClr val="tx1">
                  <a:lumMod val="15000"/>
                  <a:lumOff val="85000"/>
                </a:schemeClr>
              </a:solidFill>
              <a:round/>
            </a:ln>
            <a:effectLst/>
          </c:spPr>
        </c:majorGridlines>
        <c:numFmt formatCode="#,##0" sourceLinked="true"/>
        <c:majorTickMark val="out"/>
        <c:minorTickMark val="none"/>
        <c:tickLblPos val="none"/>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60000000" spcFirstLastPara="true" vertOverflow="ellipsis" vert="horz" wrap="square" anchor="ctr" anchorCtr="true"/>
          <a:lstStyle/>
          <a:p>
            <a:pPr>
              <a:defRPr sz="9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crossAx val="-1732954128"/>
        <c:crosses val="autoZero"/>
        <c:crossBetween val="between"/>
        <c:majorUnit val="5000.0"/>
      </c:valAx>
      <c:valAx>
        <c:axId val="-1732947600"/>
        <c:scaling>
          <c:orientation val="minMax"/>
          <c:max val="5000.0"/>
          <c:min val="-12000.0"/>
        </c:scaling>
        <c:delete val="false"/>
        <c:axPos val="t"/>
        <c:numFmt formatCode="#,##0" sourceLinked="true"/>
        <c:majorTickMark val="out"/>
        <c:minorTickMark val="none"/>
        <c:tickLblPos val="none"/>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60000000" spcFirstLastPara="true" vertOverflow="ellipsis" vert="horz" wrap="square" anchor="ctr" anchorCtr="true"/>
          <a:lstStyle/>
          <a:p>
            <a:pPr>
              <a:defRPr sz="9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crossAx val="-1732952496"/>
        <c:crosses val="max"/>
        <c:crossBetween val="between"/>
      </c:valAx>
      <c:catAx>
        <c:axId val="-1732952496"/>
        <c:scaling>
          <c:orientation val="minMax"/>
        </c:scaling>
        <c:delete val="true"/>
        <c:axPos val="l"/>
        <c:numFmt formatCode="General" sourceLinked="true"/>
        <c:majorTickMark val="out"/>
        <c:minorTickMark val="none"/>
        <c:tickLblPos val="nextTo"/>
        <c:crossAx val="-1732947600"/>
        <c:crosses val="autoZero"/>
        <c:auto val="true"/>
        <c:lblAlgn val="ctr"/>
        <c:lblOffset val="100"/>
        <c:noMultiLvlLbl val="false"/>
      </c:catA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plotArea>
    <c:legend>
      <c:legendPos val="t"/>
      <c:layout>
        <c:manualLayout>
          <c:xMode val="edge"/>
          <c:yMode val="edge"/>
          <c:x val="0.01760092044707432"/>
          <c:y val="0.015173237753882915"/>
          <c:w val="0.2049689349112426"/>
          <c:h val="0.07475268817204302"/>
        </c:manualLayout>
      </c:layout>
      <c:overlay val="false"/>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spcFirstLastPara="true" vertOverflow="ellipsis" vert="horz" wrap="square" anchor="ctr" anchorCtr="true"/>
        <a:lstStyle/>
        <a:p>
          <a:pPr>
            <a:defRPr sz="9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legend>
    <c:plotVisOnly val="true"/>
    <c:dispBlanksAs val="gap"/>
    <c:showDLblsOverMax val="false"/>
  </c:chart>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chemeClr val="bg1"/>
    </a:solidFill>
    <a:ln w="9525" cap="flat" cmpd="sng" algn="ctr">
      <a:noFill/>
      <a:round/>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a:lstStyle/>
    <a:p>
      <a:pPr>
        <a:defRPr sz="950">
          <a:solidFill>
            <a:schemeClr val="tx1">
              <a:lumMod val="65000"/>
              <a:lumOff val="35000"/>
            </a:schemeClr>
          </a:solidFill>
          <a:latin typeface="Roboto Condensed Light" panose="02000000000000000000" pitchFamily="2" charset="0"/>
          <a:ea typeface="Roboto Condensed Light" panose="02000000000000000000" pitchFamily="2" charset="0"/>
        </a:defRPr>
      </a:pPr>
      <a:endParaRPr lang="en-US"/>
    </a:p>
  </c:txPr>
  <c:externalData r:id="rId3">
    <c:autoUpdate val="false"/>
  </c:externalData>
</c:chartSpace>
</file>

<file path=word/charts/chart4.xml><?xml version="1.0" encoding="utf-8"?>
<c:chartSpace xmlns:c="http://schemas.openxmlformats.org/drawingml/2006/chart" xmlns:r="http://schemas.openxmlformats.org/officeDocument/2006/relationships" xmlns:c15="http://schemas.microsoft.com/office/drawing/2012/chart" xmlns:c16="http://schemas.microsoft.com/office/drawing/2014/chart" xmlns:c16ac="http://schemas.microsoft.com/office/drawing/2014/chart/ac" xmlns:a="http://schemas.openxmlformats.org/drawingml/2006/main">
  <c:date1904 val="false"/>
  <c:lang val="en-US"/>
  <c:roundedCorners val="false"/>
  <c:style val="2"/>
  <c:clrMapOv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bg1="lt1" tx1="dk1" bg2="lt2" tx2="dk2" accent1="accent1" accent2="accent2" accent3="accent3" accent4="accent4" accent5="accent5" accent6="accent6" hlink="hlink" folHlink="folHlink"/>
  <c:chart>
    <c:autoTitleDeleted val="true"/>
    <c:plotArea>
      <c:layout/>
      <c:barChart>
        <c:barDir val="col"/>
        <c:grouping val="percentStacked"/>
        <c:varyColors val="false"/>
        <c:ser>
          <c:idx val="0"/>
          <c:order val="0"/>
          <c:tx>
            <c:strRef>
              <c:f>'Unique Off - Age groups'!$J$2</c:f>
              <c:strCache>
                <c:ptCount val="1"/>
                <c:pt idx="0">
                  <c:v>10–19</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0C344A"/>
            </a:solidFill>
            <a:ln>
              <a:noFill/>
            </a:ln>
            <a:effectLst/>
          </c:spPr>
          <c:invertIfNegative val="false"/>
          <c:dLbl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spcFirstLastPara="true" vertOverflow="ellipsis" vert="horz" wrap="square" lIns="38100" tIns="19050" rIns="38100" bIns="19050" anchor="ctr" anchorCtr="true">
                <a:spAutoFit/>
              </a:bodyPr>
              <a:lstStyle/>
              <a:p>
                <a:pPr>
                  <a:defRPr sz="950" b="false" i="false" u="none" strike="noStrike" kern="1200" baseline="0">
                    <a:solidFill>
                      <a:schemeClr val="bg1"/>
                    </a:solidFill>
                    <a:latin typeface="Roboto Condensed Light" panose="02000000000000000000" pitchFamily="2" charset="0"/>
                    <a:ea typeface="Roboto Condensed Light" panose="02000000000000000000" pitchFamily="2" charset="0"/>
                    <a:cs typeface="+mn-cs"/>
                  </a:defRPr>
                </a:pPr>
                <a:endParaRPr lang="en-US"/>
              </a:p>
            </c:txPr>
            <c:dLblPos val="ctr"/>
            <c:showLegendKey val="false"/>
            <c:showVal val="true"/>
            <c:showCatName val="false"/>
            <c:showSerName val="false"/>
            <c:showPercent val="false"/>
            <c:showBubbleSize val="false"/>
            <c:showLeaderLines val="false"/>
            <c:extLst>
              <c:ext uri="{CE6537A1-D6FC-4f65-9D91-7224C49458BB}">
                <c15:leader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9525" cap="flat" cmpd="sng" algn="ctr">
                      <a:solidFill>
                        <a:schemeClr val="tx1">
                          <a:lumMod val="35000"/>
                          <a:lumOff val="65000"/>
                        </a:schemeClr>
                      </a:solidFill>
                      <a:round/>
                    </a:ln>
                    <a:effectLst/>
                  </c:spPr>
                </c15:leaderLines>
              </c:ext>
            </c:extLst>
          </c:dLbls>
          <c:cat>
            <c:strRef>
              <c:f>'Unique Off - Age groups'!$K$1:$O$1</c:f>
              <c:strCache>
                <c:ptCount val="5"/>
                <c:pt idx="0">
                  <c:v>2014–15</c:v>
                </c:pt>
                <c:pt idx="1">
                  <c:v>2015–16</c:v>
                </c:pt>
                <c:pt idx="2">
                  <c:v>2016–17</c:v>
                </c:pt>
                <c:pt idx="3">
                  <c:v>2017–18</c:v>
                </c:pt>
                <c:pt idx="4">
                  <c:v>2018–19</c:v>
                </c:pt>
              </c:strCache>
            </c:strRef>
          </c:cat>
          <c:val>
            <c:numRef>
              <c:f>'Unique Off - Age groups'!$K$2:$O$2</c:f>
              <c:numCache>
                <c:formatCode>0.0%</c:formatCode>
                <c:ptCount val="5"/>
                <c:pt idx="0">
                  <c:v>0.16063845920533817</c:v>
                </c:pt>
                <c:pt idx="1">
                  <c:v>0.15105701959692824</c:v>
                </c:pt>
                <c:pt idx="2">
                  <c:v>0.15055148438086186</c:v>
                </c:pt>
                <c:pt idx="3">
                  <c:v>0.14540950379100667</c:v>
                </c:pt>
                <c:pt idx="4">
                  <c:v>0.13884410342108669</c:v>
                </c:pt>
              </c:numCache>
            </c:numRef>
          </c:val>
        </c:ser>
        <c:ser>
          <c:idx val="1"/>
          <c:order val="1"/>
          <c:tx>
            <c:strRef>
              <c:f>'Unique Off - Age groups'!$J$3</c:f>
              <c:strCache>
                <c:ptCount val="1"/>
                <c:pt idx="0">
                  <c:v>20–24</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7CBAC0"/>
            </a:solidFill>
            <a:ln>
              <a:noFill/>
            </a:ln>
            <a:effectLst/>
          </c:spPr>
          <c:invertIfNegative val="false"/>
          <c:dLbl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spcFirstLastPara="true" vertOverflow="ellipsis" vert="horz" wrap="square" lIns="38100" tIns="19050" rIns="38100" bIns="19050" anchor="ctr" anchorCtr="true">
                <a:spAutoFit/>
              </a:bodyPr>
              <a:lstStyle/>
              <a:p>
                <a:pPr>
                  <a:defRPr sz="950" b="false" i="false" u="none" strike="noStrike" kern="1200" baseline="0">
                    <a:solidFill>
                      <a:schemeClr val="bg1"/>
                    </a:solidFill>
                    <a:latin typeface="Roboto Condensed Light" panose="02000000000000000000" pitchFamily="2" charset="0"/>
                    <a:ea typeface="Roboto Condensed Light" panose="02000000000000000000" pitchFamily="2" charset="0"/>
                    <a:cs typeface="+mn-cs"/>
                  </a:defRPr>
                </a:pPr>
                <a:endParaRPr lang="en-US"/>
              </a:p>
            </c:txPr>
            <c:dLblPos val="ctr"/>
            <c:showLegendKey val="false"/>
            <c:showVal val="true"/>
            <c:showCatName val="false"/>
            <c:showSerName val="false"/>
            <c:showPercent val="false"/>
            <c:showBubbleSize val="false"/>
            <c:showLeaderLines val="false"/>
            <c:extLst>
              <c:ext uri="{CE6537A1-D6FC-4f65-9D91-7224C49458BB}">
                <c15:leader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9525" cap="flat" cmpd="sng" algn="ctr">
                      <a:solidFill>
                        <a:schemeClr val="tx1">
                          <a:lumMod val="35000"/>
                          <a:lumOff val="65000"/>
                        </a:schemeClr>
                      </a:solidFill>
                      <a:round/>
                    </a:ln>
                    <a:effectLst/>
                  </c:spPr>
                </c15:leaderLines>
              </c:ext>
            </c:extLst>
          </c:dLbls>
          <c:cat>
            <c:strRef>
              <c:f>'Unique Off - Age groups'!$K$1:$O$1</c:f>
              <c:strCache>
                <c:ptCount val="5"/>
                <c:pt idx="0">
                  <c:v>2014–15</c:v>
                </c:pt>
                <c:pt idx="1">
                  <c:v>2015–16</c:v>
                </c:pt>
                <c:pt idx="2">
                  <c:v>2016–17</c:v>
                </c:pt>
                <c:pt idx="3">
                  <c:v>2017–18</c:v>
                </c:pt>
                <c:pt idx="4">
                  <c:v>2018–19</c:v>
                </c:pt>
              </c:strCache>
            </c:strRef>
          </c:cat>
          <c:val>
            <c:numRef>
              <c:f>'Unique Off - Age groups'!$K$3:$O$3</c:f>
              <c:numCache>
                <c:formatCode>0.0%</c:formatCode>
                <c:ptCount val="5"/>
                <c:pt idx="0">
                  <c:v>0.17705489839247801</c:v>
                </c:pt>
                <c:pt idx="1">
                  <c:v>0.16469516592234607</c:v>
                </c:pt>
                <c:pt idx="2">
                  <c:v>0.15614136007803317</c:v>
                </c:pt>
                <c:pt idx="3">
                  <c:v>0.14739884393063585</c:v>
                </c:pt>
                <c:pt idx="4">
                  <c:v>0.14253939486660469</c:v>
                </c:pt>
              </c:numCache>
            </c:numRef>
          </c:val>
        </c:ser>
        <c:ser>
          <c:idx val="2"/>
          <c:order val="2"/>
          <c:tx>
            <c:strRef>
              <c:f>'Unique Off - Age groups'!$J$4</c:f>
              <c:strCache>
                <c:ptCount val="1"/>
                <c:pt idx="0">
                  <c:v>25–29</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788799"/>
            </a:solidFill>
            <a:ln>
              <a:noFill/>
            </a:ln>
            <a:effectLst/>
          </c:spPr>
          <c:invertIfNegative val="false"/>
          <c:dLbl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spcFirstLastPara="true" vertOverflow="ellipsis" vert="horz" wrap="square" lIns="38100" tIns="19050" rIns="38100" bIns="19050" anchor="ctr" anchorCtr="true">
                <a:spAutoFit/>
              </a:bodyPr>
              <a:lstStyle/>
              <a:p>
                <a:pPr>
                  <a:defRPr sz="950" b="false" i="false" u="none" strike="noStrike" kern="1200" baseline="0">
                    <a:solidFill>
                      <a:schemeClr val="bg1"/>
                    </a:solidFill>
                    <a:latin typeface="Roboto Condensed Light" panose="02000000000000000000" pitchFamily="2" charset="0"/>
                    <a:ea typeface="Roboto Condensed Light" panose="02000000000000000000" pitchFamily="2" charset="0"/>
                    <a:cs typeface="+mn-cs"/>
                  </a:defRPr>
                </a:pPr>
                <a:endParaRPr lang="en-US"/>
              </a:p>
            </c:txPr>
            <c:dLblPos val="ctr"/>
            <c:showLegendKey val="false"/>
            <c:showVal val="true"/>
            <c:showCatName val="false"/>
            <c:showSerName val="false"/>
            <c:showPercent val="false"/>
            <c:showBubbleSize val="false"/>
            <c:showLeaderLines val="false"/>
            <c:extLst>
              <c:ext uri="{CE6537A1-D6FC-4f65-9D91-7224C49458BB}">
                <c15:leader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9525" cap="flat" cmpd="sng" algn="ctr">
                      <a:solidFill>
                        <a:schemeClr val="tx1">
                          <a:lumMod val="35000"/>
                          <a:lumOff val="65000"/>
                        </a:schemeClr>
                      </a:solidFill>
                      <a:round/>
                    </a:ln>
                    <a:effectLst/>
                  </c:spPr>
                </c15:leaderLines>
              </c:ext>
            </c:extLst>
          </c:dLbls>
          <c:cat>
            <c:strRef>
              <c:f>'Unique Off - Age groups'!$K$1:$O$1</c:f>
              <c:strCache>
                <c:ptCount val="5"/>
                <c:pt idx="0">
                  <c:v>2014–15</c:v>
                </c:pt>
                <c:pt idx="1">
                  <c:v>2015–16</c:v>
                </c:pt>
                <c:pt idx="2">
                  <c:v>2016–17</c:v>
                </c:pt>
                <c:pt idx="3">
                  <c:v>2017–18</c:v>
                </c:pt>
                <c:pt idx="4">
                  <c:v>2018–19</c:v>
                </c:pt>
              </c:strCache>
            </c:strRef>
          </c:cat>
          <c:val>
            <c:numRef>
              <c:f>'Unique Off - Age groups'!$K$4:$O$4</c:f>
              <c:numCache>
                <c:formatCode>0.0%</c:formatCode>
                <c:ptCount val="5"/>
                <c:pt idx="0">
                  <c:v>0.14609240723890404</c:v>
                </c:pt>
                <c:pt idx="1">
                  <c:v>0.14746403856128942</c:v>
                </c:pt>
                <c:pt idx="2">
                  <c:v>0.14813795863241877</c:v>
                </c:pt>
                <c:pt idx="3">
                  <c:v>0.14590996671921527</c:v>
                </c:pt>
                <c:pt idx="4">
                  <c:v>0.14408106104291951</c:v>
                </c:pt>
              </c:numCache>
            </c:numRef>
          </c:val>
        </c:ser>
        <c:ser>
          <c:idx val="3"/>
          <c:order val="3"/>
          <c:tx>
            <c:strRef>
              <c:f>'Unique Off - Age groups'!$J$5</c:f>
              <c:strCache>
                <c:ptCount val="1"/>
                <c:pt idx="0">
                  <c:v>30–34</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490F36"/>
            </a:solidFill>
            <a:ln>
              <a:noFill/>
            </a:ln>
            <a:effectLst/>
          </c:spPr>
          <c:invertIfNegative val="false"/>
          <c:dLbl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spcFirstLastPara="true" vertOverflow="ellipsis" vert="horz" wrap="square" lIns="38100" tIns="19050" rIns="38100" bIns="19050" anchor="ctr" anchorCtr="true">
                <a:spAutoFit/>
              </a:bodyPr>
              <a:lstStyle/>
              <a:p>
                <a:pPr>
                  <a:defRPr sz="950" b="false" i="false" u="none" strike="noStrike" kern="1200" baseline="0">
                    <a:solidFill>
                      <a:schemeClr val="bg1"/>
                    </a:solidFill>
                    <a:latin typeface="Roboto Condensed Light" panose="02000000000000000000" pitchFamily="2" charset="0"/>
                    <a:ea typeface="Roboto Condensed Light" panose="02000000000000000000" pitchFamily="2" charset="0"/>
                    <a:cs typeface="+mn-cs"/>
                  </a:defRPr>
                </a:pPr>
                <a:endParaRPr lang="en-US"/>
              </a:p>
            </c:txPr>
            <c:dLblPos val="ctr"/>
            <c:showLegendKey val="false"/>
            <c:showVal val="true"/>
            <c:showCatName val="false"/>
            <c:showSerName val="false"/>
            <c:showPercent val="false"/>
            <c:showBubbleSize val="false"/>
            <c:showLeaderLines val="false"/>
            <c:extLst>
              <c:ext uri="{CE6537A1-D6FC-4f65-9D91-7224C49458BB}">
                <c15:leader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9525" cap="flat" cmpd="sng" algn="ctr">
                      <a:solidFill>
                        <a:schemeClr val="tx1">
                          <a:lumMod val="35000"/>
                          <a:lumOff val="65000"/>
                        </a:schemeClr>
                      </a:solidFill>
                      <a:round/>
                    </a:ln>
                    <a:effectLst/>
                  </c:spPr>
                </c15:leaderLines>
              </c:ext>
            </c:extLst>
          </c:dLbls>
          <c:cat>
            <c:strRef>
              <c:f>'Unique Off - Age groups'!$K$1:$O$1</c:f>
              <c:strCache>
                <c:ptCount val="5"/>
                <c:pt idx="0">
                  <c:v>2014–15</c:v>
                </c:pt>
                <c:pt idx="1">
                  <c:v>2015–16</c:v>
                </c:pt>
                <c:pt idx="2">
                  <c:v>2016–17</c:v>
                </c:pt>
                <c:pt idx="3">
                  <c:v>2017–18</c:v>
                </c:pt>
                <c:pt idx="4">
                  <c:v>2018–19</c:v>
                </c:pt>
              </c:strCache>
            </c:strRef>
          </c:cat>
          <c:val>
            <c:numRef>
              <c:f>'Unique Off - Age groups'!$K$5:$O$5</c:f>
              <c:numCache>
                <c:formatCode>0.0%</c:formatCode>
                <c:ptCount val="5"/>
                <c:pt idx="0">
                  <c:v>0.12838691739965624</c:v>
                </c:pt>
                <c:pt idx="1">
                  <c:v>0.13099199170071987</c:v>
                </c:pt>
                <c:pt idx="2">
                  <c:v>0.13189355476077333</c:v>
                </c:pt>
                <c:pt idx="3">
                  <c:v>0.13327327778194831</c:v>
                </c:pt>
                <c:pt idx="4">
                  <c:v>0.1321478587315971</c:v>
                </c:pt>
              </c:numCache>
            </c:numRef>
          </c:val>
        </c:ser>
        <c:ser>
          <c:idx val="4"/>
          <c:order val="4"/>
          <c:tx>
            <c:strRef>
              <c:f>'Unique Off - Age groups'!$J$6</c:f>
              <c:strCache>
                <c:ptCount val="1"/>
                <c:pt idx="0">
                  <c:v>35 years and over</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BD8EB9"/>
            </a:solidFill>
            <a:ln>
              <a:noFill/>
            </a:ln>
            <a:effectLst/>
          </c:spPr>
          <c:invertIfNegative val="false"/>
          <c:dLbl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spcFirstLastPara="true" vertOverflow="ellipsis" vert="horz" wrap="square" lIns="38100" tIns="19050" rIns="38100" bIns="19050" anchor="ctr" anchorCtr="true">
                <a:spAutoFit/>
              </a:bodyPr>
              <a:lstStyle/>
              <a:p>
                <a:pPr>
                  <a:defRPr sz="950" b="false" i="false" u="none" strike="noStrike" kern="1200" baseline="0">
                    <a:solidFill>
                      <a:schemeClr val="bg1"/>
                    </a:solidFill>
                    <a:latin typeface="Roboto Condensed Light" panose="02000000000000000000" pitchFamily="2" charset="0"/>
                    <a:ea typeface="Roboto Condensed Light" panose="02000000000000000000" pitchFamily="2" charset="0"/>
                    <a:cs typeface="+mn-cs"/>
                  </a:defRPr>
                </a:pPr>
                <a:endParaRPr lang="en-US"/>
              </a:p>
            </c:txPr>
            <c:dLblPos val="ctr"/>
            <c:showLegendKey val="false"/>
            <c:showVal val="true"/>
            <c:showCatName val="false"/>
            <c:showSerName val="false"/>
            <c:showPercent val="false"/>
            <c:showBubbleSize val="false"/>
            <c:showLeaderLines val="false"/>
            <c:extLst>
              <c:ext uri="{CE6537A1-D6FC-4f65-9D91-7224C49458BB}">
                <c15:leader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9525" cap="flat" cmpd="sng" algn="ctr">
                      <a:solidFill>
                        <a:schemeClr val="tx1">
                          <a:lumMod val="35000"/>
                          <a:lumOff val="65000"/>
                        </a:schemeClr>
                      </a:solidFill>
                      <a:round/>
                    </a:ln>
                    <a:effectLst/>
                  </c:spPr>
                </c15:leaderLines>
              </c:ext>
            </c:extLst>
          </c:dLbls>
          <c:cat>
            <c:strRef>
              <c:f>'Unique Off - Age groups'!$K$1:$O$1</c:f>
              <c:strCache>
                <c:ptCount val="5"/>
                <c:pt idx="0">
                  <c:v>2014–15</c:v>
                </c:pt>
                <c:pt idx="1">
                  <c:v>2015–16</c:v>
                </c:pt>
                <c:pt idx="2">
                  <c:v>2016–17</c:v>
                </c:pt>
                <c:pt idx="3">
                  <c:v>2017–18</c:v>
                </c:pt>
                <c:pt idx="4">
                  <c:v>2018–19</c:v>
                </c:pt>
              </c:strCache>
            </c:strRef>
          </c:cat>
          <c:val>
            <c:numRef>
              <c:f>'Unique Off - Age groups'!$K$6:$O$6</c:f>
              <c:numCache>
                <c:formatCode>0.0%</c:formatCode>
                <c:ptCount val="5"/>
                <c:pt idx="0">
                  <c:v>0.37847538166009503</c:v>
                </c:pt>
                <c:pt idx="1">
                  <c:v>0.39678402894626974</c:v>
                </c:pt>
                <c:pt idx="2">
                  <c:v>0.40395918265262737</c:v>
                </c:pt>
                <c:pt idx="3">
                  <c:v>0.41892500563020796</c:v>
                </c:pt>
                <c:pt idx="4">
                  <c:v>0.43314935332399701</c:v>
                </c:pt>
              </c:numCache>
            </c:numRef>
          </c:val>
        </c:ser>
        <c:dLbls>
          <c:dLblPos val="ctr"/>
          <c:showLegendKey val="false"/>
          <c:showVal val="true"/>
          <c:showCatName val="false"/>
          <c:showSerName val="false"/>
          <c:showPercent val="false"/>
          <c:showBubbleSize val="false"/>
        </c:dLbls>
        <c:gapWidth val="150"/>
        <c:overlap val="100"/>
        <c:axId val="-1732943248"/>
        <c:axId val="-1732947056"/>
      </c:barChart>
      <c:catAx>
        <c:axId val="-1732943248"/>
        <c:scaling>
          <c:orientation val="minMax"/>
        </c:scaling>
        <c:delete val="false"/>
        <c:axPos val="b"/>
        <c:numFmt formatCode="General" sourceLinked="true"/>
        <c:majorTickMark val="none"/>
        <c:minorTickMark val="none"/>
        <c:tickLblPos val="nextTo"/>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w="9525" cap="flat" cmpd="sng" algn="ctr">
            <a:solidFill>
              <a:schemeClr val="tx1">
                <a:lumMod val="15000"/>
                <a:lumOff val="85000"/>
              </a:schemeClr>
            </a:solidFill>
            <a:round/>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60000000" spcFirstLastPara="true" vertOverflow="ellipsis" vert="horz" wrap="square" anchor="ctr" anchorCtr="true"/>
          <a:lstStyle/>
          <a:p>
            <a:pPr>
              <a:defRPr sz="9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crossAx val="-1732947056"/>
        <c:crosses val="autoZero"/>
        <c:auto val="true"/>
        <c:lblAlgn val="ctr"/>
        <c:lblOffset val="100"/>
        <c:noMultiLvlLbl val="false"/>
      </c:catAx>
      <c:valAx>
        <c:axId val="-1732947056"/>
        <c:scaling>
          <c:orientation val="minMax"/>
        </c:scaling>
        <c:delete val="false"/>
        <c:axPos val="l"/>
        <c:majorGrid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9525" cap="flat" cmpd="sng" algn="ctr">
              <a:solidFill>
                <a:schemeClr val="tx1">
                  <a:lumMod val="15000"/>
                  <a:lumOff val="85000"/>
                </a:schemeClr>
              </a:solidFill>
              <a:round/>
            </a:ln>
            <a:effectLst/>
          </c:spPr>
        </c:majorGridlines>
        <c:numFmt formatCode="0%" sourceLinked="true"/>
        <c:majorTickMark val="none"/>
        <c:minorTickMark val="none"/>
        <c:tickLblPos val="nextTo"/>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60000000" spcFirstLastPara="true" vertOverflow="ellipsis" vert="horz" wrap="square" anchor="ctr" anchorCtr="true"/>
          <a:lstStyle/>
          <a:p>
            <a:pPr>
              <a:defRPr sz="9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crossAx val="-1732943248"/>
        <c:crosses val="autoZero"/>
        <c:crossBetween val="between"/>
      </c:valA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plotArea>
    <c:legend>
      <c:legendPos val="b"/>
      <c:layout/>
      <c:overlay val="false"/>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spcFirstLastPara="true" vertOverflow="ellipsis" vert="horz" wrap="square" anchor="ctr" anchorCtr="true"/>
        <a:lstStyle/>
        <a:p>
          <a:pPr>
            <a:defRPr sz="9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legend>
    <c:plotVisOnly val="true"/>
    <c:dispBlanksAs val="gap"/>
    <c:showDLblsOverMax val="false"/>
  </c:chart>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chemeClr val="bg1"/>
    </a:solidFill>
    <a:ln w="9525" cap="flat" cmpd="sng" algn="ctr">
      <a:noFill/>
      <a:round/>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a:lstStyle/>
    <a:p>
      <a:pPr>
        <a:defRPr>
          <a:latin typeface="Roboto Condensed Light" panose="02000000000000000000" pitchFamily="2" charset="0"/>
          <a:ea typeface="Roboto Condensed Light" panose="02000000000000000000" pitchFamily="2" charset="0"/>
        </a:defRPr>
      </a:pPr>
      <a:endParaRPr lang="en-US"/>
    </a:p>
  </c:txPr>
  <c:externalData r:id="rId4">
    <c:autoUpdate val="false"/>
  </c:externalData>
</c:chartSpace>
</file>

<file path=word/charts/chart5.xml><?xml version="1.0" encoding="utf-8"?>
<c:chartSpace xmlns:c="http://schemas.openxmlformats.org/drawingml/2006/chart" xmlns:r="http://schemas.openxmlformats.org/officeDocument/2006/relationships" xmlns:c15="http://schemas.microsoft.com/office/drawing/2012/chart" xmlns:c16="http://schemas.microsoft.com/office/drawing/2014/chart" xmlns:c16ac="http://schemas.microsoft.com/office/drawing/2014/chart/ac" xmlns:a="http://schemas.openxmlformats.org/drawingml/2006/main">
  <c:date1904 val="false"/>
  <c:lang val="en-US"/>
  <c:roundedCorners val="false"/>
  <c:style val="2"/>
  <c:chart>
    <c:autoTitleDeleted val="true"/>
    <c:plotArea>
      <c:layout>
        <c:manualLayout>
          <c:layoutTarget val="inner"/>
          <c:xMode val="edge"/>
          <c:yMode val="edge"/>
          <c:x val="0.07919597708607616"/>
          <c:y val="0.04332840293119592"/>
          <c:w val="0.8966639128163594"/>
          <c:h val="0.7562246511390315"/>
        </c:manualLayout>
      </c:layout>
      <c:lineChart>
        <c:grouping val="standard"/>
        <c:varyColors val="false"/>
        <c:ser>
          <c:idx val="0"/>
          <c:order val="0"/>
          <c:tx>
            <c:strRef>
              <c:f>'Unique Off - FV proportion'!$A$3</c:f>
              <c:strCache>
                <c:ptCount val="1"/>
                <c:pt idx="0">
                  <c:v>Males</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28575" cap="rnd">
              <a:solidFill>
                <a:srgbClr val="0C344A"/>
              </a:solidFill>
              <a:round/>
            </a:ln>
            <a:effectLst/>
          </c:spPr>
          <c:marker>
            <c:symbol val="circle"/>
            <c:size val="5"/>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0C344A"/>
              </a:solidFill>
              <a:ln w="6350">
                <a:solidFill>
                  <a:srgbClr val="0C344A"/>
                </a:solidFill>
              </a:ln>
              <a:effectLst/>
            </c:spPr>
          </c:marker>
          <c:dPt>
            <c:idx val="0"/>
            <c:marker>
              <c:symbol val="circle"/>
              <c:size val="5"/>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0C344A"/>
                </a:solidFill>
                <a:ln w="6350">
                  <a:solidFill>
                    <a:srgbClr val="0C344A"/>
                  </a:solidFill>
                </a:ln>
                <a:effectLst/>
              </c:spPr>
            </c:marker>
            <c:bubble3D val="false"/>
          </c:dPt>
          <c:dPt>
            <c:idx val="2"/>
            <c:marker>
              <c:symbol val="circle"/>
              <c:size val="5"/>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0C344A"/>
                </a:solidFill>
                <a:ln w="6350">
                  <a:solidFill>
                    <a:srgbClr val="0C344A"/>
                  </a:solidFill>
                </a:ln>
                <a:effectLst/>
              </c:spPr>
            </c:marker>
            <c:bubble3D val="false"/>
          </c:dPt>
          <c:dPt>
            <c:idx val="3"/>
            <c:marker>
              <c:symbol val="circle"/>
              <c:size val="5"/>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0C344A"/>
                </a:solidFill>
                <a:ln w="6350">
                  <a:solidFill>
                    <a:srgbClr val="0C344A"/>
                  </a:solidFill>
                </a:ln>
                <a:effectLst/>
              </c:spPr>
            </c:marker>
            <c:bubble3D val="false"/>
          </c:dPt>
          <c:dPt>
            <c:idx val="4"/>
            <c:marker>
              <c:symbol val="circle"/>
              <c:size val="5"/>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0C344A"/>
                </a:solidFill>
                <a:ln w="6350">
                  <a:solidFill>
                    <a:srgbClr val="0C344A"/>
                  </a:solidFill>
                </a:ln>
                <a:effectLst/>
              </c:spPr>
            </c:marker>
            <c:bubble3D val="false"/>
          </c:dPt>
          <c:dLbl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spcFirstLastPara="true" vertOverflow="ellipsis" vert="horz" wrap="square" lIns="38100" tIns="19050" rIns="38100" bIns="19050" anchor="ctr" anchorCtr="true">
                <a:spAutoFit/>
              </a:bodyPr>
              <a:lstStyle/>
              <a:p>
                <a:pPr>
                  <a:defRPr sz="950" b="false" i="false" u="none" strike="noStrike" kern="1200" baseline="0">
                    <a:solidFill>
                      <a:schemeClr val="tx1">
                        <a:lumMod val="75000"/>
                        <a:lumOff val="25000"/>
                      </a:schemeClr>
                    </a:solidFill>
                    <a:latin typeface="Roboto Condensed Light" panose="02000000000000000000" pitchFamily="2" charset="0"/>
                    <a:ea typeface="Roboto Condensed Light" panose="02000000000000000000" pitchFamily="2" charset="0"/>
                    <a:cs typeface="+mn-cs"/>
                  </a:defRPr>
                </a:pPr>
                <a:endParaRPr lang="en-US"/>
              </a:p>
            </c:txPr>
            <c:dLblPos val="t"/>
            <c:showLegendKey val="false"/>
            <c:showVal val="true"/>
            <c:showCatName val="false"/>
            <c:showSerName val="false"/>
            <c:showPercent val="false"/>
            <c:showBubbleSize val="false"/>
            <c:showLeaderLines val="false"/>
            <c:extLst>
              <c:ext uri="{CE6537A1-D6FC-4f65-9D91-7224C49458BB}">
                <c15:leader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9525" cap="flat" cmpd="sng" algn="ctr">
                      <a:solidFill>
                        <a:schemeClr val="tx1">
                          <a:lumMod val="35000"/>
                          <a:lumOff val="65000"/>
                        </a:schemeClr>
                      </a:solidFill>
                      <a:round/>
                    </a:ln>
                    <a:effectLst/>
                  </c:spPr>
                </c15:leaderLines>
              </c:ext>
            </c:extLst>
          </c:dLbls>
          <c:cat>
            <c:strRef>
              <c:f>'Unique Off - FV proportion'!$B$6:$F$6</c:f>
              <c:strCache>
                <c:ptCount val="5"/>
                <c:pt idx="0">
                  <c:v>2014–15</c:v>
                </c:pt>
                <c:pt idx="1">
                  <c:v>2015–16</c:v>
                </c:pt>
                <c:pt idx="2">
                  <c:v>2016–17</c:v>
                </c:pt>
                <c:pt idx="3">
                  <c:v>2017–18</c:v>
                </c:pt>
                <c:pt idx="4">
                  <c:v>2018–19</c:v>
                </c:pt>
              </c:strCache>
            </c:strRef>
          </c:cat>
          <c:val>
            <c:numRef>
              <c:f>'Unique Off - FV proportion'!$B$7:$F$7</c:f>
              <c:numCache>
                <c:formatCode>0.0%</c:formatCode>
                <c:ptCount val="5"/>
                <c:pt idx="0">
                  <c:v>0.28469096365132374</c:v>
                </c:pt>
                <c:pt idx="1">
                  <c:v>0.31745282250842599</c:v>
                </c:pt>
                <c:pt idx="2">
                  <c:v>0.32810430062360657</c:v>
                </c:pt>
                <c:pt idx="3">
                  <c:v>0.32114117323229868</c:v>
                </c:pt>
                <c:pt idx="4">
                  <c:v>0.33302095495606221</c:v>
                </c:pt>
              </c:numCache>
            </c:numRef>
          </c:val>
          <c:smooth val="false"/>
        </c:ser>
        <c:ser>
          <c:idx val="1"/>
          <c:order val="1"/>
          <c:tx>
            <c:strRef>
              <c:f>'Unique Off - FV proportion'!$A$4</c:f>
              <c:strCache>
                <c:ptCount val="1"/>
                <c:pt idx="0">
                  <c:v>Females</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28575" cap="rnd">
              <a:solidFill>
                <a:srgbClr val="7CBAC0"/>
              </a:solidFill>
              <a:round/>
            </a:ln>
            <a:effectLst/>
          </c:spPr>
          <c:marker>
            <c:symbol val="circle"/>
            <c:size val="5"/>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7CBAC0"/>
              </a:solidFill>
              <a:ln w="6350">
                <a:solidFill>
                  <a:srgbClr val="7CBAC0"/>
                </a:solidFill>
              </a:ln>
              <a:effectLst/>
            </c:spPr>
          </c:marker>
          <c:dLbl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spcFirstLastPara="true" vertOverflow="ellipsis" vert="horz" wrap="square" lIns="38100" tIns="19050" rIns="38100" bIns="19050" anchor="ctr" anchorCtr="true">
                <a:spAutoFit/>
              </a:bodyPr>
              <a:lstStyle/>
              <a:p>
                <a:pPr>
                  <a:defRPr sz="950" b="false" i="false" u="none" strike="noStrike" kern="1200" baseline="0">
                    <a:solidFill>
                      <a:schemeClr val="tx1">
                        <a:lumMod val="75000"/>
                        <a:lumOff val="25000"/>
                      </a:schemeClr>
                    </a:solidFill>
                    <a:latin typeface="Roboto Condensed Light" panose="02000000000000000000" pitchFamily="2" charset="0"/>
                    <a:ea typeface="Roboto Condensed Light" panose="02000000000000000000" pitchFamily="2" charset="0"/>
                    <a:cs typeface="+mn-cs"/>
                  </a:defRPr>
                </a:pPr>
                <a:endParaRPr lang="en-US"/>
              </a:p>
            </c:txPr>
            <c:dLblPos val="b"/>
            <c:showLegendKey val="false"/>
            <c:showVal val="true"/>
            <c:showCatName val="false"/>
            <c:showSerName val="false"/>
            <c:showPercent val="false"/>
            <c:showBubbleSize val="false"/>
            <c:showLeaderLines val="false"/>
            <c:extLst>
              <c:ext uri="{CE6537A1-D6FC-4f65-9D91-7224C49458BB}">
                <c15:leader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9525" cap="flat" cmpd="sng" algn="ctr">
                      <a:solidFill>
                        <a:schemeClr val="tx1">
                          <a:lumMod val="35000"/>
                          <a:lumOff val="65000"/>
                        </a:schemeClr>
                      </a:solidFill>
                      <a:round/>
                    </a:ln>
                    <a:effectLst/>
                  </c:spPr>
                </c15:leaderLines>
              </c:ext>
            </c:extLst>
          </c:dLbls>
          <c:cat>
            <c:strRef>
              <c:f>'Unique Off - FV proportion'!$B$6:$F$6</c:f>
              <c:strCache>
                <c:ptCount val="5"/>
                <c:pt idx="0">
                  <c:v>2014–15</c:v>
                </c:pt>
                <c:pt idx="1">
                  <c:v>2015–16</c:v>
                </c:pt>
                <c:pt idx="2">
                  <c:v>2016–17</c:v>
                </c:pt>
                <c:pt idx="3">
                  <c:v>2017–18</c:v>
                </c:pt>
                <c:pt idx="4">
                  <c:v>2018–19</c:v>
                </c:pt>
              </c:strCache>
            </c:strRef>
          </c:cat>
          <c:val>
            <c:numRef>
              <c:f>'Unique Off - FV proportion'!$B$8:$F$8</c:f>
              <c:numCache>
                <c:formatCode>0.0%</c:formatCode>
                <c:ptCount val="5"/>
                <c:pt idx="0">
                  <c:v>0.23301254009915429</c:v>
                </c:pt>
                <c:pt idx="1">
                  <c:v>0.25746056961307162</c:v>
                </c:pt>
                <c:pt idx="2">
                  <c:v>0.26843037414212972</c:v>
                </c:pt>
                <c:pt idx="3">
                  <c:v>0.26231764382053402</c:v>
                </c:pt>
                <c:pt idx="4">
                  <c:v>0.26025260403562622</c:v>
                </c:pt>
              </c:numCache>
            </c:numRef>
          </c:val>
          <c:smooth val="false"/>
        </c:ser>
        <c:dLbls>
          <c:dLblPos val="t"/>
          <c:showLegendKey val="false"/>
          <c:showVal val="true"/>
          <c:showCatName val="false"/>
          <c:showSerName val="false"/>
          <c:showPercent val="false"/>
          <c:showBubbleSize val="false"/>
        </c:dLbls>
        <c:marker val="true"/>
        <c:smooth val="false"/>
        <c:axId val="-1732959024"/>
        <c:axId val="-1732942704"/>
      </c:lineChart>
      <c:catAx>
        <c:axId val="-1732959024"/>
        <c:scaling>
          <c:orientation val="minMax"/>
        </c:scaling>
        <c:delete val="false"/>
        <c:axPos val="b"/>
        <c:numFmt formatCode="General" sourceLinked="true"/>
        <c:majorTickMark val="none"/>
        <c:minorTickMark val="none"/>
        <c:tickLblPos val="nextTo"/>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w="12700" cap="flat" cmpd="sng" algn="ctr">
            <a:solidFill>
              <a:schemeClr val="tx1">
                <a:lumMod val="15000"/>
                <a:lumOff val="85000"/>
              </a:schemeClr>
            </a:solidFill>
            <a:round/>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60000000" spcFirstLastPara="true" vertOverflow="ellipsis" vert="horz" wrap="square" anchor="ctr" anchorCtr="true"/>
          <a:lstStyle/>
          <a:p>
            <a:pPr>
              <a:defRPr sz="9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crossAx val="-1732942704"/>
        <c:crosses val="autoZero"/>
        <c:auto val="true"/>
        <c:lblAlgn val="ctr"/>
        <c:lblOffset val="100"/>
        <c:noMultiLvlLbl val="false"/>
      </c:catAx>
      <c:valAx>
        <c:axId val="-1732942704"/>
        <c:scaling>
          <c:orientation val="minMax"/>
        </c:scaling>
        <c:delete val="false"/>
        <c:axPos val="l"/>
        <c:majorGrid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12700" cap="flat" cmpd="sng" algn="ctr">
              <a:solidFill>
                <a:schemeClr val="tx1">
                  <a:lumMod val="15000"/>
                  <a:lumOff val="85000"/>
                </a:schemeClr>
              </a:solidFill>
              <a:round/>
            </a:ln>
            <a:effectLst/>
          </c:spPr>
        </c:majorGridlines>
        <c:numFmt formatCode="0%" sourceLinked="false"/>
        <c:majorTickMark val="none"/>
        <c:minorTickMark val="none"/>
        <c:tickLblPos val="nextTo"/>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60000000" spcFirstLastPara="true" vertOverflow="ellipsis" vert="horz" wrap="square" anchor="ctr" anchorCtr="true"/>
          <a:lstStyle/>
          <a:p>
            <a:pPr>
              <a:defRPr sz="9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crossAx val="-1732959024"/>
        <c:crosses val="autoZero"/>
        <c:crossBetween val="between"/>
        <c:majorUnit val="0.1"/>
      </c:valA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plotArea>
    <c:legend>
      <c:legendPos val="b"/>
      <c:layout>
        <c:manualLayout>
          <c:xMode val="edge"/>
          <c:yMode val="edge"/>
          <c:x val="0.08584323374486721"/>
          <c:y val="0.9052919270532065"/>
          <c:w val="0.8778126813856248"/>
          <c:h val="0.07238510607084582"/>
        </c:manualLayout>
      </c:layout>
      <c:overlay val="false"/>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spcFirstLastPara="true" vertOverflow="ellipsis" vert="horz" wrap="square" anchor="ctr" anchorCtr="true"/>
        <a:lstStyle/>
        <a:p>
          <a:pPr>
            <a:defRPr sz="9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legend>
    <c:plotVisOnly val="true"/>
    <c:dispBlanksAs val="gap"/>
    <c:showDLblsOverMax val="false"/>
  </c:chart>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chemeClr val="bg1"/>
    </a:solidFill>
    <a:ln w="9525" cap="flat" cmpd="sng" algn="ctr">
      <a:noFill/>
      <a:round/>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a:lstStyle/>
    <a:p>
      <a:pPr>
        <a:defRPr/>
      </a:pPr>
      <a:endParaRPr lang="en-US"/>
    </a:p>
  </c:txPr>
  <c:externalData r:id="rId3">
    <c:autoUpdate val="false"/>
  </c:externalData>
</c:chartSpace>
</file>

<file path=word/charts/chart6.xml><?xml version="1.0" encoding="utf-8"?>
<c:chartSpace xmlns:c="http://schemas.openxmlformats.org/drawingml/2006/chart" xmlns:r="http://schemas.openxmlformats.org/officeDocument/2006/relationships" xmlns:c15="http://schemas.microsoft.com/office/drawing/2012/chart" xmlns:c16="http://schemas.microsoft.com/office/drawing/2014/chart" xmlns:c16ac="http://schemas.microsoft.com/office/drawing/2014/chart/ac" xmlns:a="http://schemas.openxmlformats.org/drawingml/2006/main">
  <c:date1904 val="false"/>
  <c:lang val="en-US"/>
  <c:roundedCorners val="false"/>
  <c:style val="2"/>
  <c:clrMapOv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bg1="lt1" tx1="dk1" bg2="lt2" tx2="dk2" accent1="accent1" accent2="accent2" accent3="accent3" accent4="accent4" accent5="accent5" accent6="accent6" hlink="hlink" folHlink="folHlink"/>
  <c:chart>
    <c:autoTitleDeleted val="true"/>
    <c:plotArea>
      <c:layout/>
      <c:barChart>
        <c:barDir val="col"/>
        <c:grouping val="percentStacked"/>
        <c:varyColors val="false"/>
        <c:ser>
          <c:idx val="0"/>
          <c:order val="0"/>
          <c:tx>
            <c:strRef>
              <c:f>'Unique Off - Age groups youth'!$A$2</c:f>
              <c:strCache>
                <c:ptCount val="1"/>
                <c:pt idx="0">
                  <c:v>10–17</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0C344A"/>
            </a:solidFill>
            <a:ln>
              <a:noFill/>
            </a:ln>
            <a:effectLst/>
          </c:spPr>
          <c:invertIfNegative val="false"/>
          <c:dLbl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spcFirstLastPara="true" vertOverflow="ellipsis" vert="horz" wrap="square" anchor="ctr" anchorCtr="true"/>
              <a:lstStyle/>
              <a:p>
                <a:pPr>
                  <a:defRPr sz="950" b="false" i="false" u="none" strike="noStrike" kern="1200" baseline="0">
                    <a:solidFill>
                      <a:schemeClr val="bg1"/>
                    </a:solidFill>
                    <a:latin typeface="Roboto Condensed Light" panose="02000000000000000000" pitchFamily="2" charset="0"/>
                    <a:ea typeface="Roboto Condensed Light" panose="02000000000000000000" pitchFamily="2" charset="0"/>
                    <a:cs typeface="+mn-cs"/>
                  </a:defRPr>
                </a:pPr>
                <a:endParaRPr lang="en-US"/>
              </a:p>
            </c:txPr>
            <c:dLblPos val="ctr"/>
            <c:showLegendKey val="false"/>
            <c:showVal val="true"/>
            <c:showCatName val="false"/>
            <c:showSerName val="false"/>
            <c:showPercent val="false"/>
            <c:showBubbleSize val="false"/>
            <c:showLeaderLines val="false"/>
            <c:extLst>
              <c:ext uri="{CE6537A1-D6FC-4f65-9D91-7224C49458BB}">
                <c15:leader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9525" cap="flat" cmpd="sng" algn="ctr">
                      <a:solidFill>
                        <a:schemeClr val="tx1">
                          <a:lumMod val="35000"/>
                          <a:lumOff val="65000"/>
                        </a:schemeClr>
                      </a:solidFill>
                      <a:round/>
                    </a:ln>
                    <a:effectLst/>
                  </c:spPr>
                </c15:leaderLines>
              </c:ext>
            </c:extLst>
          </c:dLbls>
          <c:cat>
            <c:strRef>
              <c:f>'Unique Off - Age groups youth'!$B$1:$F$1</c:f>
              <c:strCache>
                <c:ptCount val="5"/>
                <c:pt idx="0">
                  <c:v>2014–15</c:v>
                </c:pt>
                <c:pt idx="1">
                  <c:v>2015–16</c:v>
                </c:pt>
                <c:pt idx="2">
                  <c:v>2016–17</c:v>
                </c:pt>
                <c:pt idx="3">
                  <c:v>2017–18</c:v>
                </c:pt>
                <c:pt idx="4">
                  <c:v>2018–19</c:v>
                </c:pt>
              </c:strCache>
            </c:strRef>
          </c:cat>
          <c:val>
            <c:numRef>
              <c:f>'Unique Off - Age groups youth'!$B$2:$F$2</c:f>
              <c:numCache>
                <c:formatCode>0.0%</c:formatCode>
                <c:ptCount val="5"/>
                <c:pt idx="0">
                  <c:v>9.5516125770902835E-2</c:v>
                </c:pt>
                <c:pt idx="1">
                  <c:v>9.3240388143162586E-2</c:v>
                </c:pt>
                <c:pt idx="2">
                  <c:v>9.2589350473951434E-2</c:v>
                </c:pt>
                <c:pt idx="3">
                  <c:v>9.1559692715762087E-2</c:v>
                </c:pt>
                <c:pt idx="4">
                  <c:v>8.7345392065714997E-2</c:v>
                </c:pt>
              </c:numCache>
            </c:numRef>
          </c:val>
        </c:ser>
        <c:ser>
          <c:idx val="1"/>
          <c:order val="1"/>
          <c:tx>
            <c:strRef>
              <c:f>'Unique Off - Age groups youth'!$A$3</c:f>
              <c:strCache>
                <c:ptCount val="1"/>
                <c:pt idx="0">
                  <c:v>18–24</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7CBAC0"/>
            </a:solidFill>
            <a:ln>
              <a:noFill/>
            </a:ln>
            <a:effectLst/>
          </c:spPr>
          <c:invertIfNegative val="false"/>
          <c:dLbl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spcFirstLastPara="true" vertOverflow="ellipsis" vert="horz" wrap="square" anchor="ctr" anchorCtr="true"/>
              <a:lstStyle/>
              <a:p>
                <a:pPr>
                  <a:defRPr sz="950" b="false" i="false" u="none" strike="noStrike" kern="1200" baseline="0">
                    <a:solidFill>
                      <a:schemeClr val="tx1">
                        <a:lumMod val="75000"/>
                        <a:lumOff val="25000"/>
                      </a:schemeClr>
                    </a:solidFill>
                    <a:latin typeface="Roboto Condensed Light" panose="02000000000000000000" pitchFamily="2" charset="0"/>
                    <a:ea typeface="Roboto Condensed Light" panose="02000000000000000000" pitchFamily="2" charset="0"/>
                    <a:cs typeface="+mn-cs"/>
                  </a:defRPr>
                </a:pPr>
                <a:endParaRPr lang="en-US"/>
              </a:p>
            </c:txPr>
            <c:dLblPos val="ctr"/>
            <c:showLegendKey val="false"/>
            <c:showVal val="true"/>
            <c:showCatName val="false"/>
            <c:showSerName val="false"/>
            <c:showPercent val="false"/>
            <c:showBubbleSize val="false"/>
            <c:showLeaderLines val="false"/>
            <c:extLst>
              <c:ext uri="{CE6537A1-D6FC-4f65-9D91-7224C49458BB}">
                <c15:leader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9525" cap="flat" cmpd="sng" algn="ctr">
                      <a:solidFill>
                        <a:schemeClr val="tx1">
                          <a:lumMod val="35000"/>
                          <a:lumOff val="65000"/>
                        </a:schemeClr>
                      </a:solidFill>
                      <a:round/>
                    </a:ln>
                    <a:effectLst/>
                  </c:spPr>
                </c15:leaderLines>
              </c:ext>
            </c:extLst>
          </c:dLbls>
          <c:cat>
            <c:strRef>
              <c:f>'Unique Off - Age groups youth'!$B$1:$F$1</c:f>
              <c:strCache>
                <c:ptCount val="5"/>
                <c:pt idx="0">
                  <c:v>2014–15</c:v>
                </c:pt>
                <c:pt idx="1">
                  <c:v>2015–16</c:v>
                </c:pt>
                <c:pt idx="2">
                  <c:v>2016–17</c:v>
                </c:pt>
                <c:pt idx="3">
                  <c:v>2017–18</c:v>
                </c:pt>
                <c:pt idx="4">
                  <c:v>2018–19</c:v>
                </c:pt>
              </c:strCache>
            </c:strRef>
          </c:cat>
          <c:val>
            <c:numRef>
              <c:f>'Unique Off - Age groups youth'!$B$3:$F$3</c:f>
              <c:numCache>
                <c:formatCode>0.0%</c:formatCode>
                <c:ptCount val="5"/>
                <c:pt idx="0">
                  <c:v>0.24217723182691336</c:v>
                </c:pt>
                <c:pt idx="1">
                  <c:v>0.22251179737611174</c:v>
                </c:pt>
                <c:pt idx="2">
                  <c:v>0.2141034939849436</c:v>
                </c:pt>
                <c:pt idx="3">
                  <c:v>0.20124865500588043</c:v>
                </c:pt>
                <c:pt idx="4">
                  <c:v>0.1940381062219764</c:v>
                </c:pt>
              </c:numCache>
            </c:numRef>
          </c:val>
        </c:ser>
        <c:ser>
          <c:idx val="2"/>
          <c:order val="2"/>
          <c:tx>
            <c:strRef>
              <c:f>'Unique Off - Age groups youth'!$A$4</c:f>
              <c:strCache>
                <c:ptCount val="1"/>
                <c:pt idx="0">
                  <c:v>25 years and over</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C5C6C6"/>
            </a:solidFill>
            <a:ln>
              <a:noFill/>
            </a:ln>
            <a:effectLst/>
          </c:spPr>
          <c:invertIfNegative val="false"/>
          <c:dLbl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spcFirstLastPara="true" vertOverflow="ellipsis" vert="horz" wrap="square" anchor="ctr" anchorCtr="true"/>
              <a:lstStyle/>
              <a:p>
                <a:pPr>
                  <a:defRPr sz="950" b="false" i="false" u="none" strike="noStrike" kern="1200" baseline="0">
                    <a:solidFill>
                      <a:schemeClr val="tx1">
                        <a:lumMod val="75000"/>
                        <a:lumOff val="25000"/>
                      </a:schemeClr>
                    </a:solidFill>
                    <a:latin typeface="Roboto Condensed Light" panose="02000000000000000000" pitchFamily="2" charset="0"/>
                    <a:ea typeface="Roboto Condensed Light" panose="02000000000000000000" pitchFamily="2" charset="0"/>
                    <a:cs typeface="+mn-cs"/>
                  </a:defRPr>
                </a:pPr>
                <a:endParaRPr lang="en-US"/>
              </a:p>
            </c:txPr>
            <c:dLblPos val="ctr"/>
            <c:showLegendKey val="false"/>
            <c:showVal val="true"/>
            <c:showCatName val="false"/>
            <c:showSerName val="false"/>
            <c:showPercent val="false"/>
            <c:showBubbleSize val="false"/>
            <c:showLeaderLines val="false"/>
            <c:extLst>
              <c:ext uri="{CE6537A1-D6FC-4f65-9D91-7224C49458BB}">
                <c15:leader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9525" cap="flat" cmpd="sng" algn="ctr">
                      <a:solidFill>
                        <a:schemeClr val="tx1">
                          <a:lumMod val="35000"/>
                          <a:lumOff val="65000"/>
                        </a:schemeClr>
                      </a:solidFill>
                      <a:round/>
                    </a:ln>
                    <a:effectLst/>
                  </c:spPr>
                </c15:leaderLines>
              </c:ext>
            </c:extLst>
          </c:dLbls>
          <c:cat>
            <c:strRef>
              <c:f>'Unique Off - Age groups youth'!$B$1:$F$1</c:f>
              <c:strCache>
                <c:ptCount val="5"/>
                <c:pt idx="0">
                  <c:v>2014–15</c:v>
                </c:pt>
                <c:pt idx="1">
                  <c:v>2015–16</c:v>
                </c:pt>
                <c:pt idx="2">
                  <c:v>2016–17</c:v>
                </c:pt>
                <c:pt idx="3">
                  <c:v>2017–18</c:v>
                </c:pt>
                <c:pt idx="4">
                  <c:v>2018–19</c:v>
                </c:pt>
              </c:strCache>
            </c:strRef>
          </c:cat>
          <c:val>
            <c:numRef>
              <c:f>'Unique Off - Age groups youth'!$B$4:$F$4</c:f>
              <c:numCache>
                <c:formatCode>0.0%</c:formatCode>
                <c:ptCount val="5"/>
                <c:pt idx="0">
                  <c:v>0.65295470629865537</c:v>
                </c:pt>
                <c:pt idx="1">
                  <c:v>0.67524005920827901</c:v>
                </c:pt>
                <c:pt idx="2">
                  <c:v>0.68399069604581952</c:v>
                </c:pt>
                <c:pt idx="3">
                  <c:v>0.69810825013137157</c:v>
                </c:pt>
                <c:pt idx="4">
                  <c:v>0.70937827309851365</c:v>
                </c:pt>
              </c:numCache>
            </c:numRef>
          </c:val>
        </c:ser>
        <c:dLbls>
          <c:dLblPos val="ctr"/>
          <c:showLegendKey val="false"/>
          <c:showVal val="true"/>
          <c:showCatName val="false"/>
          <c:showSerName val="false"/>
          <c:showPercent val="false"/>
          <c:showBubbleSize val="false"/>
        </c:dLbls>
        <c:gapWidth val="150"/>
        <c:overlap val="100"/>
        <c:axId val="-1732946512"/>
        <c:axId val="-1732945424"/>
      </c:barChart>
      <c:catAx>
        <c:axId val="-1732946512"/>
        <c:scaling>
          <c:orientation val="minMax"/>
        </c:scaling>
        <c:delete val="false"/>
        <c:axPos val="b"/>
        <c:numFmt formatCode="General" sourceLinked="true"/>
        <c:majorTickMark val="none"/>
        <c:minorTickMark val="none"/>
        <c:tickLblPos val="nextTo"/>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w="9525" cap="flat" cmpd="sng" algn="ctr">
            <a:solidFill>
              <a:schemeClr val="tx1">
                <a:lumMod val="15000"/>
                <a:lumOff val="85000"/>
              </a:schemeClr>
            </a:solidFill>
            <a:round/>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60000000" spcFirstLastPara="true" vertOverflow="ellipsis" vert="horz" wrap="square" anchor="ctr" anchorCtr="true"/>
          <a:lstStyle/>
          <a:p>
            <a:pPr>
              <a:defRPr sz="9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crossAx val="-1732945424"/>
        <c:crosses val="autoZero"/>
        <c:auto val="true"/>
        <c:lblAlgn val="ctr"/>
        <c:lblOffset val="100"/>
        <c:noMultiLvlLbl val="false"/>
      </c:catAx>
      <c:valAx>
        <c:axId val="-1732945424"/>
        <c:scaling>
          <c:orientation val="minMax"/>
        </c:scaling>
        <c:delete val="false"/>
        <c:axPos val="l"/>
        <c:majorGrid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9525" cap="flat" cmpd="sng" algn="ctr">
              <a:solidFill>
                <a:schemeClr val="tx1">
                  <a:lumMod val="15000"/>
                  <a:lumOff val="85000"/>
                </a:schemeClr>
              </a:solidFill>
              <a:round/>
            </a:ln>
            <a:effectLst/>
          </c:spPr>
        </c:majorGridlines>
        <c:numFmt formatCode="0%" sourceLinked="true"/>
        <c:majorTickMark val="none"/>
        <c:minorTickMark val="none"/>
        <c:tickLblPos val="nextTo"/>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60000000" spcFirstLastPara="true" vertOverflow="ellipsis" vert="horz" wrap="square" anchor="ctr" anchorCtr="true"/>
          <a:lstStyle/>
          <a:p>
            <a:pPr>
              <a:defRPr sz="9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crossAx val="-1732946512"/>
        <c:crosses val="autoZero"/>
        <c:crossBetween val="between"/>
      </c:valA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plotArea>
    <c:legend>
      <c:legendPos val="b"/>
      <c:layout/>
      <c:overlay val="false"/>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spcFirstLastPara="true" vertOverflow="ellipsis" vert="horz" wrap="square" anchor="ctr" anchorCtr="true"/>
        <a:lstStyle/>
        <a:p>
          <a:pPr>
            <a:defRPr sz="9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legend>
    <c:plotVisOnly val="true"/>
    <c:dispBlanksAs val="gap"/>
    <c:showDLblsOverMax val="false"/>
  </c:chart>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chemeClr val="bg1"/>
    </a:solidFill>
    <a:ln w="9525" cap="flat" cmpd="sng" algn="ctr">
      <a:noFill/>
      <a:round/>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a:lstStyle/>
    <a:p>
      <a:pPr>
        <a:defRPr sz="950">
          <a:latin typeface="Roboto Condensed Light" panose="02000000000000000000" pitchFamily="2" charset="0"/>
          <a:ea typeface="Roboto Condensed Light" panose="02000000000000000000" pitchFamily="2" charset="0"/>
        </a:defRPr>
      </a:pPr>
      <a:endParaRPr lang="en-US"/>
    </a:p>
  </c:txPr>
  <c:externalData r:id="rId4">
    <c:autoUpdate val="false"/>
  </c:externalData>
</c:chartSpace>
</file>

<file path=word/charts/chart7.xml><?xml version="1.0" encoding="utf-8"?>
<c:chartSpace xmlns:c="http://schemas.openxmlformats.org/drawingml/2006/chart" xmlns:r="http://schemas.openxmlformats.org/officeDocument/2006/relationships" xmlns:c15="http://schemas.microsoft.com/office/drawing/2012/chart" xmlns:c16="http://schemas.microsoft.com/office/drawing/2014/chart" xmlns:c16ac="http://schemas.microsoft.com/office/drawing/2014/chart/ac" xmlns:a="http://schemas.openxmlformats.org/drawingml/2006/main">
  <c:date1904 val="false"/>
  <c:lang val="en-US"/>
  <c:roundedCorners val="false"/>
  <c:style val="2"/>
  <c:clrMapOv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bg1="lt1" tx1="dk1" bg2="lt2" tx2="dk2" accent1="accent1" accent2="accent2" accent3="accent3" accent4="accent4" accent5="accent5" accent6="accent6" hlink="hlink" folHlink="folHlink"/>
  <c:chart>
    <c:autoTitleDeleted val="true"/>
    <c:plotArea>
      <c:layout>
        <c:manualLayout>
          <c:layoutTarget val="inner"/>
          <c:xMode val="edge"/>
          <c:yMode val="edge"/>
          <c:x val="0.050788449174599154"/>
          <c:y val="0.09959963768115943"/>
          <c:w val="0.8916153846153846"/>
          <c:h val="0.8506494565217392"/>
        </c:manualLayout>
      </c:layout>
      <c:barChart>
        <c:barDir val="bar"/>
        <c:grouping val="clustered"/>
        <c:varyColors val="false"/>
        <c:ser>
          <c:idx val="1"/>
          <c:order val="1"/>
          <c:tx>
            <c:strRef>
              <c:f>'Unique Off - Repeat Age group'!$C$1</c:f>
              <c:strCache>
                <c:ptCount val="1"/>
                <c:pt idx="0">
                  <c:v>One offender incident</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0C344A"/>
            </a:solidFill>
            <a:ln>
              <a:solidFill>
                <a:srgbClr val="0C344A"/>
              </a:solidFill>
            </a:ln>
            <a:effectLst/>
          </c:spPr>
          <c:invertIfNegative val="false"/>
          <c:dLbls>
            <c:dLbl>
              <c:idx val="2"/>
              <c:layout>
                <c:manualLayout>
                  <c:x val="-0.0036472068554737626"/>
                  <c:y val="0.00452279202279194"/>
                </c:manualLayout>
              </c:layout>
              <c:showLegendKey val="false"/>
              <c:showVal val="true"/>
              <c:showCatName val="false"/>
              <c:showSerName val="false"/>
              <c:showPercent val="false"/>
              <c:showBubbleSize val="false"/>
              <c:extLst>
                <c:ext uri="{CE6537A1-D6FC-4f65-9D91-7224C49458BB}">
                  <c15:layout/>
                </c:ext>
              </c:extLst>
            </c:dLbl>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spcFirstLastPara="true" vertOverflow="ellipsis" vert="horz" wrap="square" anchor="ctr" anchorCtr="true"/>
              <a:lstStyle/>
              <a:p>
                <a:pPr>
                  <a:defRPr sz="9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showLegendKey val="false"/>
            <c:showVal val="true"/>
            <c:showCatName val="false"/>
            <c:showSerName val="false"/>
            <c:showPercent val="false"/>
            <c:showBubbleSize val="false"/>
            <c:showLeaderLines val="false"/>
            <c:extLst>
              <c:ext uri="{CE6537A1-D6FC-4f65-9D91-7224C49458BB}">
                <c15:leader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9525" cap="flat" cmpd="sng" algn="ctr">
                      <a:solidFill>
                        <a:schemeClr val="tx1">
                          <a:lumMod val="35000"/>
                          <a:lumOff val="65000"/>
                        </a:schemeClr>
                      </a:solidFill>
                      <a:round/>
                    </a:ln>
                    <a:effectLst/>
                  </c:spPr>
                </c15:leaderLines>
              </c:ext>
            </c:extLst>
          </c:dLbls>
          <c:cat>
            <c:strRef>
              <c:f>'Unique Off - Repeat Age group'!$A$2:$A$13</c:f>
              <c:strCache>
                <c:ptCount val="12"/>
                <c:pt idx="0">
                  <c:v>10–14</c:v>
                </c:pt>
                <c:pt idx="1">
                  <c:v>15–19</c:v>
                </c:pt>
                <c:pt idx="2">
                  <c:v>20–24</c:v>
                </c:pt>
                <c:pt idx="3">
                  <c:v>25–29</c:v>
                </c:pt>
                <c:pt idx="4">
                  <c:v>30–34</c:v>
                </c:pt>
                <c:pt idx="5">
                  <c:v>35–39</c:v>
                </c:pt>
                <c:pt idx="6">
                  <c:v>40–44</c:v>
                </c:pt>
                <c:pt idx="7">
                  <c:v>45–49</c:v>
                </c:pt>
                <c:pt idx="8">
                  <c:v>50–54</c:v>
                </c:pt>
                <c:pt idx="9">
                  <c:v>55–59</c:v>
                </c:pt>
                <c:pt idx="10">
                  <c:v>60–64</c:v>
                </c:pt>
                <c:pt idx="11">
                  <c:v>65 +</c:v>
                </c:pt>
              </c:strCache>
            </c:strRef>
          </c:cat>
          <c:val>
            <c:numRef>
              <c:f>'Unique Off - Repeat Age group'!$C$2:$C$13</c:f>
              <c:numCache>
                <c:formatCode>#,##0</c:formatCode>
                <c:ptCount val="12"/>
                <c:pt idx="0">
                  <c:v>1494</c:v>
                </c:pt>
                <c:pt idx="1">
                  <c:v>6105</c:v>
                </c:pt>
                <c:pt idx="2">
                  <c:v>8079</c:v>
                </c:pt>
                <c:pt idx="3">
                  <c:v>7787</c:v>
                </c:pt>
                <c:pt idx="4">
                  <c:v>6994</c:v>
                </c:pt>
                <c:pt idx="5">
                  <c:v>6309</c:v>
                </c:pt>
                <c:pt idx="6">
                  <c:v>5421</c:v>
                </c:pt>
                <c:pt idx="7">
                  <c:v>4964</c:v>
                </c:pt>
                <c:pt idx="8">
                  <c:v>3454</c:v>
                </c:pt>
                <c:pt idx="9">
                  <c:v>2176</c:v>
                </c:pt>
                <c:pt idx="10">
                  <c:v>1295</c:v>
                </c:pt>
                <c:pt idx="11">
                  <c:v>1816</c:v>
                </c:pt>
              </c:numCache>
            </c:numRef>
          </c:val>
        </c:ser>
        <c:dLbls>
          <c:showLegendKey val="false"/>
          <c:showVal val="false"/>
          <c:showCatName val="false"/>
          <c:showSerName val="false"/>
          <c:showPercent val="false"/>
          <c:showBubbleSize val="false"/>
        </c:dLbls>
        <c:gapWidth val="100"/>
        <c:axId val="-1732942160"/>
        <c:axId val="-1732958480"/>
      </c:barChart>
      <c:barChart>
        <c:barDir val="bar"/>
        <c:grouping val="clustered"/>
        <c:varyColors val="false"/>
        <c:ser>
          <c:idx val="0"/>
          <c:order val="0"/>
          <c:tx>
            <c:strRef>
              <c:f>'Unique Off - Repeat Age group'!$B$1</c:f>
              <c:strCache>
                <c:ptCount val="1"/>
                <c:pt idx="0">
                  <c:v>More than one offender incident</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7CBAC0"/>
            </a:solidFill>
            <a:ln>
              <a:solidFill>
                <a:srgbClr val="7CBAC0"/>
              </a:solidFill>
            </a:ln>
            <a:effectLst/>
          </c:spPr>
          <c:invertIfNegative val="false"/>
          <c:dLbl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spcFirstLastPara="true" vertOverflow="ellipsis" vert="horz" wrap="square" anchor="ctr" anchorCtr="true"/>
              <a:lstStyle/>
              <a:p>
                <a:pPr>
                  <a:defRPr sz="9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showLegendKey val="false"/>
            <c:showVal val="true"/>
            <c:showCatName val="false"/>
            <c:showSerName val="false"/>
            <c:showPercent val="false"/>
            <c:showBubbleSize val="false"/>
            <c:showLeaderLines val="false"/>
            <c:extLst>
              <c:ext uri="{CE6537A1-D6FC-4f65-9D91-7224C49458BB}">
                <c15:leader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9525" cap="flat" cmpd="sng" algn="ctr">
                      <a:solidFill>
                        <a:schemeClr val="tx1">
                          <a:lumMod val="35000"/>
                          <a:lumOff val="65000"/>
                        </a:schemeClr>
                      </a:solidFill>
                      <a:round/>
                    </a:ln>
                    <a:effectLst/>
                  </c:spPr>
                </c15:leaderLines>
              </c:ext>
            </c:extLst>
          </c:dLbls>
          <c:cat>
            <c:strRef>
              <c:f>'Unique Off - Repeat Age group'!$A$2:$A$13</c:f>
              <c:strCache>
                <c:ptCount val="12"/>
                <c:pt idx="0">
                  <c:v>10–14</c:v>
                </c:pt>
                <c:pt idx="1">
                  <c:v>15–19</c:v>
                </c:pt>
                <c:pt idx="2">
                  <c:v>20–24</c:v>
                </c:pt>
                <c:pt idx="3">
                  <c:v>25–29</c:v>
                </c:pt>
                <c:pt idx="4">
                  <c:v>30–34</c:v>
                </c:pt>
                <c:pt idx="5">
                  <c:v>35–39</c:v>
                </c:pt>
                <c:pt idx="6">
                  <c:v>40–44</c:v>
                </c:pt>
                <c:pt idx="7">
                  <c:v>45–49</c:v>
                </c:pt>
                <c:pt idx="8">
                  <c:v>50–54</c:v>
                </c:pt>
                <c:pt idx="9">
                  <c:v>55–59</c:v>
                </c:pt>
                <c:pt idx="10">
                  <c:v>60–64</c:v>
                </c:pt>
                <c:pt idx="11">
                  <c:v>65 +</c:v>
                </c:pt>
              </c:strCache>
            </c:strRef>
          </c:cat>
          <c:val>
            <c:numRef>
              <c:f>'Unique Off - Repeat Age group'!$B$2:$B$13</c:f>
              <c:numCache>
                <c:formatCode>#,##0</c:formatCode>
                <c:ptCount val="12"/>
                <c:pt idx="0">
                  <c:v>761</c:v>
                </c:pt>
                <c:pt idx="1">
                  <c:v>3438</c:v>
                </c:pt>
                <c:pt idx="2">
                  <c:v>4033</c:v>
                </c:pt>
                <c:pt idx="3">
                  <c:v>4456</c:v>
                </c:pt>
                <c:pt idx="4">
                  <c:v>4235</c:v>
                </c:pt>
                <c:pt idx="5">
                  <c:v>3825</c:v>
                </c:pt>
                <c:pt idx="6">
                  <c:v>3008</c:v>
                </c:pt>
                <c:pt idx="7">
                  <c:v>2266</c:v>
                </c:pt>
                <c:pt idx="8">
                  <c:v>1163</c:v>
                </c:pt>
                <c:pt idx="9">
                  <c:v>562</c:v>
                </c:pt>
                <c:pt idx="10">
                  <c:v>266</c:v>
                </c:pt>
                <c:pt idx="11">
                  <c:v>281</c:v>
                </c:pt>
              </c:numCache>
            </c:numRef>
          </c:val>
        </c:ser>
        <c:dLbls>
          <c:showLegendKey val="false"/>
          <c:showVal val="false"/>
          <c:showCatName val="false"/>
          <c:showSerName val="false"/>
          <c:showPercent val="false"/>
          <c:showBubbleSize val="false"/>
        </c:dLbls>
        <c:gapWidth val="100"/>
        <c:axId val="-1732941616"/>
        <c:axId val="-1732935088"/>
      </c:barChart>
      <c:catAx>
        <c:axId val="-1732942160"/>
        <c:scaling>
          <c:orientation val="minMax"/>
        </c:scaling>
        <c:delete val="false"/>
        <c:axPos val="r"/>
        <c:numFmt formatCode="General" sourceLinked="true"/>
        <c:majorTickMark val="none"/>
        <c:minorTickMark val="none"/>
        <c:tickLblPos val="high"/>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w="9525" cap="flat" cmpd="sng" algn="ctr">
            <a:solidFill>
              <a:schemeClr val="tx1">
                <a:lumMod val="15000"/>
                <a:lumOff val="85000"/>
              </a:schemeClr>
            </a:solidFill>
            <a:round/>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60000000" spcFirstLastPara="true" vertOverflow="ellipsis" vert="horz" wrap="square" anchor="ctr" anchorCtr="true"/>
          <a:lstStyle/>
          <a:p>
            <a:pPr>
              <a:defRPr sz="9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crossAx val="-1732958480"/>
        <c:crosses val="autoZero"/>
        <c:auto val="true"/>
        <c:lblAlgn val="ctr"/>
        <c:lblOffset val="100"/>
        <c:noMultiLvlLbl val="false"/>
      </c:catAx>
      <c:valAx>
        <c:axId val="-1732958480"/>
        <c:scaling>
          <c:orientation val="maxMin"/>
          <c:max val="9000.0"/>
          <c:min val="-6000.0"/>
        </c:scaling>
        <c:delete val="false"/>
        <c:axPos val="b"/>
        <c:majorGrid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12700" cap="flat" cmpd="sng" algn="ctr">
              <a:solidFill>
                <a:schemeClr val="tx1">
                  <a:lumMod val="15000"/>
                  <a:lumOff val="85000"/>
                </a:schemeClr>
              </a:solidFill>
              <a:round/>
            </a:ln>
            <a:effectLst/>
          </c:spPr>
        </c:majorGridlines>
        <c:numFmt formatCode="#,##0" sourceLinked="true"/>
        <c:majorTickMark val="out"/>
        <c:minorTickMark val="none"/>
        <c:tickLblPos val="none"/>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60000000" spcFirstLastPara="true" vertOverflow="ellipsis" vert="horz" wrap="square" anchor="ctr" anchorCtr="true"/>
          <a:lstStyle/>
          <a:p>
            <a:pPr>
              <a:defRPr sz="10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crossAx val="-1732942160"/>
        <c:crosses val="autoZero"/>
        <c:crossBetween val="between"/>
        <c:majorUnit val="1500.0"/>
        <c:minorUnit val="1500.0"/>
      </c:valAx>
      <c:valAx>
        <c:axId val="-1732935088"/>
        <c:scaling>
          <c:orientation val="minMax"/>
          <c:max val="6000.0"/>
          <c:min val="-9000.0"/>
        </c:scaling>
        <c:delete val="false"/>
        <c:axPos val="t"/>
        <c:numFmt formatCode="#,##0" sourceLinked="true"/>
        <c:majorTickMark val="out"/>
        <c:minorTickMark val="none"/>
        <c:tickLblPos val="none"/>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60000000" spcFirstLastPara="true" vertOverflow="ellipsis" vert="horz" wrap="square" anchor="ctr" anchorCtr="true"/>
          <a:lstStyle/>
          <a:p>
            <a:pPr>
              <a:defRPr sz="10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crossAx val="-1732941616"/>
        <c:crosses val="max"/>
        <c:crossBetween val="between"/>
        <c:majorUnit val="1500.0"/>
        <c:minorUnit val="1500.0"/>
      </c:valAx>
      <c:catAx>
        <c:axId val="-1732941616"/>
        <c:scaling>
          <c:orientation val="minMax"/>
        </c:scaling>
        <c:delete val="true"/>
        <c:axPos val="l"/>
        <c:numFmt formatCode="General" sourceLinked="true"/>
        <c:majorTickMark val="out"/>
        <c:minorTickMark val="none"/>
        <c:tickLblPos val="nextTo"/>
        <c:crossAx val="-1732935088"/>
        <c:crosses val="autoZero"/>
        <c:auto val="true"/>
        <c:lblAlgn val="ctr"/>
        <c:lblOffset val="100"/>
        <c:noMultiLvlLbl val="false"/>
      </c:catA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plotArea>
    <c:legend>
      <c:legendPos val="t"/>
      <c:layout>
        <c:manualLayout>
          <c:xMode val="edge"/>
          <c:yMode val="edge"/>
          <c:x val="0.14096489434219495"/>
          <c:y val="0.015173237753882915"/>
          <c:w val="0.7611891615541924"/>
          <c:h val="0.07475268817204302"/>
        </c:manualLayout>
      </c:layout>
      <c:overlay val="false"/>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spcFirstLastPara="true" vertOverflow="ellipsis" vert="horz" wrap="square" anchor="ctr" anchorCtr="true"/>
        <a:lstStyle/>
        <a:p>
          <a:pPr>
            <a:defRPr sz="9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legend>
    <c:plotVisOnly val="true"/>
    <c:dispBlanksAs val="gap"/>
    <c:showDLblsOverMax val="false"/>
  </c:chart>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chemeClr val="bg1"/>
    </a:solidFill>
    <a:ln w="9525" cap="flat" cmpd="sng" algn="ctr">
      <a:noFill/>
      <a:round/>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a:lstStyle/>
    <a:p>
      <a:pPr>
        <a:defRPr sz="1050">
          <a:solidFill>
            <a:schemeClr val="tx1">
              <a:lumMod val="65000"/>
              <a:lumOff val="35000"/>
            </a:schemeClr>
          </a:solidFill>
          <a:latin typeface="Roboto Condensed Light" panose="02000000000000000000" pitchFamily="2" charset="0"/>
          <a:ea typeface="Roboto Condensed Light" panose="02000000000000000000" pitchFamily="2" charset="0"/>
        </a:defRPr>
      </a:pPr>
      <a:endParaRPr lang="en-US"/>
    </a:p>
  </c:txPr>
  <c:externalData r:id="rId3">
    <c:autoUpdate val="false"/>
  </c:externalData>
</c:chartSpace>
</file>

<file path=word/charts/chart8.xml><?xml version="1.0" encoding="utf-8"?>
<c:chartSpace xmlns:c="http://schemas.openxmlformats.org/drawingml/2006/chart" xmlns:r="http://schemas.openxmlformats.org/officeDocument/2006/relationships" xmlns:c15="http://schemas.microsoft.com/office/drawing/2012/chart" xmlns:c16="http://schemas.microsoft.com/office/drawing/2014/chart" xmlns:c16ac="http://schemas.microsoft.com/office/drawing/2014/chart/ac" xmlns:a="http://schemas.openxmlformats.org/drawingml/2006/main">
  <c:date1904 val="false"/>
  <c:lang val="en-US"/>
  <c:roundedCorners val="false"/>
  <c:style val="2"/>
  <c:chart>
    <c:autoTitleDeleted val="true"/>
    <c:plotArea>
      <c:layout/>
      <c:lineChart>
        <c:grouping val="standard"/>
        <c:varyColors val="false"/>
        <c:ser>
          <c:idx val="0"/>
          <c:order val="0"/>
          <c:tx>
            <c:strRef>
              <c:f>'[Graphs for Publication and Website - year ending Jun2019.xlsx]Unique Victims - 10 year '!$A$4</c:f>
              <c:strCache>
                <c:ptCount val="1"/>
                <c:pt idx="0">
                  <c:v>Unique victims</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28575" cap="rnd">
              <a:solidFill>
                <a:srgbClr val="0C344A"/>
              </a:solidFill>
              <a:round/>
            </a:ln>
            <a:effectLst/>
          </c:spPr>
          <c:marker>
            <c:symbol val="circle"/>
            <c:size val="5"/>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0C344A"/>
              </a:solidFill>
              <a:ln w="6350">
                <a:solidFill>
                  <a:srgbClr val="0C344A"/>
                </a:solidFill>
              </a:ln>
              <a:effectLst/>
            </c:spPr>
          </c:marker>
          <c:dLbl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spcFirstLastPara="true" vertOverflow="ellipsis" vert="horz" wrap="square" anchor="ctr" anchorCtr="true"/>
              <a:lstStyle/>
              <a:p>
                <a:pPr>
                  <a:defRPr sz="950" b="false" i="false" u="none" strike="noStrike" kern="1200" baseline="0">
                    <a:solidFill>
                      <a:schemeClr val="tx1">
                        <a:lumMod val="75000"/>
                        <a:lumOff val="25000"/>
                      </a:schemeClr>
                    </a:solidFill>
                    <a:latin typeface="Roboto Condensed Light" panose="02000000000000000000" pitchFamily="2" charset="0"/>
                    <a:ea typeface="Roboto Condensed Light" panose="02000000000000000000" pitchFamily="2" charset="0"/>
                    <a:cs typeface="+mn-cs"/>
                  </a:defRPr>
                </a:pPr>
                <a:endParaRPr lang="en-US"/>
              </a:p>
            </c:txPr>
            <c:dLblPos val="t"/>
            <c:showLegendKey val="false"/>
            <c:showVal val="true"/>
            <c:showCatName val="false"/>
            <c:showSerName val="false"/>
            <c:showPercent val="false"/>
            <c:showBubbleSize val="false"/>
            <c:showLeaderLines val="false"/>
            <c:extLst>
              <c:ext uri="{CE6537A1-D6FC-4f65-9D91-7224C49458BB}">
                <c15:showLeaderLines val="false"/>
              </c:ext>
            </c:extLst>
          </c:dLbls>
          <c:cat>
            <c:numRef>
              <c:f>'[Graphs for Publication and Website - year ending Jun2019.xlsx]Unique Victims - 10 year '!$B$1:$K$1</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'[Graphs for Publication and Website - year ending Jun2019.xlsx]Unique Victims - 10 year '!$B$4:$K$4</c:f>
              <c:numCache>
                <c:formatCode>#,##0</c:formatCode>
                <c:ptCount val="10"/>
                <c:pt idx="0">
                  <c:v>216458</c:v>
                </c:pt>
                <c:pt idx="1">
                  <c:v>211018</c:v>
                </c:pt>
                <c:pt idx="2">
                  <c:v>219115</c:v>
                </c:pt>
                <c:pt idx="3">
                  <c:v>215329</c:v>
                </c:pt>
                <c:pt idx="4">
                  <c:v>219638</c:v>
                </c:pt>
                <c:pt idx="5">
                  <c:v>219146</c:v>
                </c:pt>
                <c:pt idx="6">
                  <c:v>245166</c:v>
                </c:pt>
                <c:pt idx="7">
                  <c:v>245485</c:v>
                </c:pt>
                <c:pt idx="8">
                  <c:v>227993</c:v>
                </c:pt>
                <c:pt idx="9">
                  <c:v>226167</c:v>
                </c:pt>
              </c:numCache>
            </c:numRef>
          </c:val>
          <c:smooth val="false"/>
        </c:ser>
        <c:dLbls>
          <c:dLblPos val="t"/>
          <c:showLegendKey val="false"/>
          <c:showVal val="true"/>
          <c:showCatName val="false"/>
          <c:showSerName val="false"/>
          <c:showPercent val="false"/>
          <c:showBubbleSize val="false"/>
        </c:dLbls>
        <c:marker val="true"/>
        <c:smooth val="false"/>
        <c:axId val="-1732929648"/>
        <c:axId val="-1732930192"/>
      </c:lineChart>
      <c:catAx>
        <c:axId val="-1732929648"/>
        <c:scaling>
          <c:orientation val="minMax"/>
        </c:scaling>
        <c:delete val="false"/>
        <c:axPos val="b"/>
        <c:numFmt formatCode="General" sourceLinked="true"/>
        <c:majorTickMark val="none"/>
        <c:minorTickMark val="none"/>
        <c:tickLblPos val="nextTo"/>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w="12700" cap="flat" cmpd="sng" algn="ctr">
            <a:solidFill>
              <a:schemeClr val="tx1">
                <a:lumMod val="15000"/>
                <a:lumOff val="85000"/>
              </a:schemeClr>
            </a:solidFill>
            <a:round/>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60000000" spcFirstLastPara="true" vertOverflow="ellipsis" vert="horz" wrap="square" anchor="ctr" anchorCtr="true"/>
          <a:lstStyle/>
          <a:p>
            <a:pPr>
              <a:defRPr sz="9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crossAx val="-1732930192"/>
        <c:crosses val="autoZero"/>
        <c:auto val="true"/>
        <c:lblAlgn val="ctr"/>
        <c:lblOffset val="100"/>
        <c:noMultiLvlLbl val="false"/>
      </c:catAx>
      <c:valAx>
        <c:axId val="-1732930192"/>
        <c:scaling>
          <c:orientation val="minMax"/>
          <c:min val="0.0"/>
        </c:scaling>
        <c:delete val="false"/>
        <c:axPos val="l"/>
        <c:majorGrid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12700" cap="flat" cmpd="sng" algn="ctr">
              <a:solidFill>
                <a:schemeClr val="tx1">
                  <a:lumMod val="15000"/>
                  <a:lumOff val="85000"/>
                </a:schemeClr>
              </a:solidFill>
              <a:round/>
            </a:ln>
            <a:effectLst/>
          </c:spPr>
        </c:majorGridlines>
        <c:numFmt formatCode="#,##0" sourceLinked="true"/>
        <c:majorTickMark val="none"/>
        <c:minorTickMark val="none"/>
        <c:tickLblPos val="nextTo"/>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60000000" spcFirstLastPara="true" vertOverflow="ellipsis" vert="horz" wrap="square" anchor="ctr" anchorCtr="true"/>
          <a:lstStyle/>
          <a:p>
            <a:pPr>
              <a:defRPr sz="9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crossAx val="-1732929648"/>
        <c:crosses val="autoZero"/>
        <c:crossBetween val="between"/>
      </c:valA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plotArea>
    <c:plotVisOnly val="true"/>
    <c:dispBlanksAs val="gap"/>
    <c:showDLblsOverMax val="false"/>
  </c:chart>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chemeClr val="bg1"/>
    </a:solidFill>
    <a:ln w="9525" cap="flat" cmpd="sng" algn="ctr">
      <a:noFill/>
      <a:round/>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a:lstStyle/>
    <a:p>
      <a:pPr>
        <a:defRPr sz="800">
          <a:latin typeface="Roboto" panose="02000000000000000000" pitchFamily="2" charset="0"/>
          <a:ea typeface="Roboto" panose="02000000000000000000" pitchFamily="2" charset="0"/>
        </a:defRPr>
      </a:pPr>
      <a:endParaRPr lang="en-US"/>
    </a:p>
  </c:txPr>
  <c:externalData r:id="rId3">
    <c:autoUpdate val="false"/>
  </c:externalData>
</c:chartSpace>
</file>

<file path=word/charts/chart9.xml><?xml version="1.0" encoding="utf-8"?>
<c:chartSpace xmlns:c="http://schemas.openxmlformats.org/drawingml/2006/chart" xmlns:r="http://schemas.openxmlformats.org/officeDocument/2006/relationships" xmlns:c15="http://schemas.microsoft.com/office/drawing/2012/chart" xmlns:c16="http://schemas.microsoft.com/office/drawing/2014/chart" xmlns:c16ac="http://schemas.microsoft.com/office/drawing/2014/chart/ac" xmlns:a="http://schemas.openxmlformats.org/drawingml/2006/main">
  <c:date1904 val="false"/>
  <c:lang val="en-US"/>
  <c:roundedCorners val="false"/>
  <c:style val="2"/>
  <c:chart>
    <c:autoTitleDeleted val="false"/>
    <c:plotArea>
      <c:layout/>
      <c:barChart>
        <c:barDir val="col"/>
        <c:grouping val="percentStacked"/>
        <c:varyColors val="false"/>
        <c:ser>
          <c:idx val="1"/>
          <c:order val="0"/>
          <c:tx>
            <c:strRef>
              <c:f>'Unique Victims - sex'!$A$2</c:f>
              <c:strCache>
                <c:ptCount val="1"/>
                <c:pt idx="0">
                  <c:v>Males</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0C344A"/>
            </a:solidFill>
            <a:ln w="25400">
              <a:noFill/>
            </a:ln>
          </c:spPr>
          <c:invertIfNegative val="false"/>
          <c:dLbl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wrap="square" lIns="38100" tIns="19050" rIns="38100" bIns="19050" anchor="ctr">
                <a:spAutoFit/>
              </a:bodyPr>
              <a:lstStyle/>
              <a:p>
                <a:pPr>
                  <a:defRPr sz="950">
                    <a:solidFill>
                      <a:schemeClr val="bg1"/>
                    </a:solidFill>
                  </a:defRPr>
                </a:pPr>
                <a:endParaRPr lang="en-US"/>
              </a:p>
            </c:txPr>
            <c:dLblPos val="ctr"/>
            <c:showLegendKey val="false"/>
            <c:showVal val="true"/>
            <c:showCatName val="false"/>
            <c:showSerName val="false"/>
            <c:showPercent val="false"/>
            <c:showBubbleSize val="false"/>
            <c:showLeaderLines val="false"/>
            <c:extLst>
              <c:ext uri="{CE6537A1-D6FC-4f65-9D91-7224C49458BB}">
                <c15:showLeaderLines val="true"/>
              </c:ext>
            </c:extLst>
          </c:dLbls>
          <c:cat>
            <c:strRef>
              <c:f>'Unique Victims - sex'!$B$1:$F$1</c:f>
              <c:strCache>
                <c:ptCount val="5"/>
                <c:pt idx="0">
                  <c:v>2014–15</c:v>
                </c:pt>
                <c:pt idx="1">
                  <c:v>2015–16</c:v>
                </c:pt>
                <c:pt idx="2">
                  <c:v>2016–17</c:v>
                </c:pt>
                <c:pt idx="3">
                  <c:v>2017–18</c:v>
                </c:pt>
                <c:pt idx="4">
                  <c:v>2018–19</c:v>
                </c:pt>
              </c:strCache>
            </c:strRef>
          </c:cat>
          <c:val>
            <c:numRef>
              <c:f>'Unique Victims - sex'!$B$2:$F$2</c:f>
              <c:numCache>
                <c:formatCode>0.0%</c:formatCode>
                <c:ptCount val="5"/>
                <c:pt idx="0">
                  <c:v>0.56145251396648044</c:v>
                </c:pt>
                <c:pt idx="1">
                  <c:v>0.56602195038638425</c:v>
                </c:pt>
                <c:pt idx="2">
                  <c:v>0.56587155601363048</c:v>
                </c:pt>
                <c:pt idx="3">
                  <c:v>0.56219375593907772</c:v>
                </c:pt>
                <c:pt idx="4">
                  <c:v>0.56109885874569088</c:v>
                </c:pt>
              </c:numCache>
            </c:numRef>
          </c:val>
        </c:ser>
        <c:ser>
          <c:idx val="0"/>
          <c:order val="1"/>
          <c:tx>
            <c:strRef>
              <c:f>'Unique Victims - sex'!$A$3</c:f>
              <c:strCache>
                <c:ptCount val="1"/>
                <c:pt idx="0">
                  <c:v>Females</c:v>
                </c:pt>
              </c:strCache>
            </c:strRef>
          </c:t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rgbClr val="7CBAC0"/>
            </a:solidFill>
            <a:ln w="25400">
              <a:noFill/>
            </a:ln>
          </c:spPr>
          <c:invertIfNegative val="false"/>
          <c:dLbl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a:noFill/>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wrap="square" lIns="38100" tIns="19050" rIns="38100" bIns="19050" anchor="ctr">
                <a:spAutoFit/>
              </a:bodyPr>
              <a:lstStyle/>
              <a:p>
                <a:pPr>
                  <a:defRPr sz="950">
                    <a:solidFill>
                      <a:schemeClr val="bg1"/>
                    </a:solidFill>
                  </a:defRPr>
                </a:pPr>
                <a:endParaRPr lang="en-US"/>
              </a:p>
            </c:txPr>
            <c:dLblPos val="ctr"/>
            <c:showLegendKey val="false"/>
            <c:showVal val="true"/>
            <c:showCatName val="false"/>
            <c:showSerName val="false"/>
            <c:showPercent val="false"/>
            <c:showBubbleSize val="false"/>
            <c:showLeaderLines val="false"/>
            <c:extLst>
              <c:ext uri="{CE6537A1-D6FC-4f65-9D91-7224C49458BB}">
                <c15:showLeaderLines val="true"/>
              </c:ext>
            </c:extLst>
          </c:dLbls>
          <c:cat>
            <c:strRef>
              <c:f>'Unique Victims - sex'!$B$1:$F$1</c:f>
              <c:strCache>
                <c:ptCount val="5"/>
                <c:pt idx="0">
                  <c:v>2014–15</c:v>
                </c:pt>
                <c:pt idx="1">
                  <c:v>2015–16</c:v>
                </c:pt>
                <c:pt idx="2">
                  <c:v>2016–17</c:v>
                </c:pt>
                <c:pt idx="3">
                  <c:v>2017–18</c:v>
                </c:pt>
                <c:pt idx="4">
                  <c:v>2018–19</c:v>
                </c:pt>
              </c:strCache>
            </c:strRef>
          </c:cat>
          <c:val>
            <c:numRef>
              <c:f>'Unique Victims - sex'!$B$3:$F$3</c:f>
              <c:numCache>
                <c:formatCode>0.0%</c:formatCode>
                <c:ptCount val="5"/>
                <c:pt idx="0">
                  <c:v>0.43609712926599925</c:v>
                </c:pt>
                <c:pt idx="1">
                  <c:v>0.43212657363082363</c:v>
                </c:pt>
                <c:pt idx="2">
                  <c:v>0.43128300974943412</c:v>
                </c:pt>
                <c:pt idx="3">
                  <c:v>0.43560845353053285</c:v>
                </c:pt>
                <c:pt idx="4">
                  <c:v>0.43778236944093529</c:v>
                </c:pt>
              </c:numCache>
            </c:numRef>
          </c:val>
        </c:ser>
        <c:dLbls>
          <c:dLblPos val="ctr"/>
          <c:showLegendKey val="false"/>
          <c:showVal val="true"/>
          <c:showCatName val="false"/>
          <c:showSerName val="false"/>
          <c:showPercent val="false"/>
          <c:showBubbleSize val="false"/>
        </c:dLbls>
        <c:gapWidth val="150"/>
        <c:overlap val="100"/>
        <c:axId val="-1732937264"/>
        <c:axId val="-1732939984"/>
      </c:barChart>
      <c:catAx>
        <c:axId val="-1732937264"/>
        <c:scaling>
          <c:orientation val="minMax"/>
        </c:scaling>
        <c:delete val="false"/>
        <c:axPos val="b"/>
        <c:numFmt formatCode="General" sourceLinked="true"/>
        <c:majorTickMark val="out"/>
        <c:minorTickMark val="none"/>
        <c:tickLblPos val="nextTo"/>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w="9525" cap="flat" cmpd="sng" algn="ctr">
            <a:solidFill>
              <a:schemeClr val="tx1">
                <a:lumMod val="15000"/>
                <a:lumOff val="85000"/>
              </a:schemeClr>
            </a:solidFill>
            <a:round/>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vert="horz"/>
          <a:lstStyle/>
          <a:p>
            <a:pPr>
              <a:defRPr sz="950"/>
            </a:pPr>
            <a:endParaRPr lang="en-US"/>
          </a:p>
        </c:txPr>
        <c:crossAx val="-1732939984"/>
        <c:crosses val="autoZero"/>
        <c:auto val="true"/>
        <c:lblAlgn val="ctr"/>
        <c:lblOffset val="100"/>
        <c:noMultiLvlLbl val="false"/>
      </c:catAx>
      <c:valAx>
        <c:axId val="-1732939984"/>
        <c:scaling>
          <c:orientation val="minMax"/>
        </c:scaling>
        <c:delete val="false"/>
        <c:axPos val="l"/>
        <c:majorGridlines>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9525" cap="flat" cmpd="sng" algn="ctr">
              <a:solidFill>
                <a:schemeClr val="tx1">
                  <a:lumMod val="15000"/>
                  <a:lumOff val="85000"/>
                </a:schemeClr>
              </a:solidFill>
              <a:round/>
            </a:ln>
            <a:effectLst/>
          </c:spPr>
        </c:majorGridlines>
        <c:numFmt formatCode="0%" sourceLinked="true"/>
        <c:majorTickMark val="none"/>
        <c:minorTickMark val="none"/>
        <c:tickLblPos val="nextTo"/>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ln w="6350">
            <a:noFill/>
          </a:ln>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rot="0" vert="horz"/>
          <a:lstStyle/>
          <a:p>
            <a:pPr algn="ctr">
              <a:defRPr lang="en-AU" sz="9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crossAx val="-1732937264"/>
        <c:crosses val="autoZero"/>
        <c:crossBetween val="between"/>
      </c:valAx>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w="25400">
          <a:noFill/>
        </a:ln>
      </c:spPr>
    </c:plotArea>
    <c:legend>
      <c:legendPos val="b"/>
      <c:layout/>
      <c:overlay val="false"/>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noFill/>
        <a:ln w="25400">
          <a:noFill/>
        </a:ln>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a:lstStyle/>
        <a:p>
          <a:pPr algn="ctr">
            <a:defRPr lang="en-AU" sz="950" b="false" i="false" u="none" strike="noStrike" kern="1200" baseline="0">
              <a:solidFill>
                <a:schemeClr val="tx1">
                  <a:lumMod val="65000"/>
                  <a:lumOff val="35000"/>
                </a:schemeClr>
              </a:solidFill>
              <a:latin typeface="Roboto Condensed Light" panose="02000000000000000000" pitchFamily="2" charset="0"/>
              <a:ea typeface="Roboto Condensed Light" panose="02000000000000000000" pitchFamily="2" charset="0"/>
              <a:cs typeface="+mn-cs"/>
            </a:defRPr>
          </a:pPr>
          <a:endParaRPr lang="en-US"/>
        </a:p>
      </c:txPr>
    </c:legend>
    <c:plotVisOnly val="true"/>
    <c:dispBlanksAs val="zero"/>
    <c:showDLblsOverMax val="false"/>
  </c:chart>
  <c:sp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solidFill>
      <a:schemeClr val="bg1"/>
    </a:solidFill>
    <a:ln w="9525" cap="flat" cmpd="sng" algn="ctr">
      <a:noFill/>
      <a:round/>
    </a:ln>
    <a:effectLst/>
  </c:spPr>
  <c:tx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dgm="http://schemas.openxmlformats.org/drawingml/2006/diagram">
    <a:bodyPr/>
    <a:lstStyle/>
    <a:p>
      <a:pPr>
        <a:defRPr sz="1000" b="false" i="false" u="none" strike="noStrike" baseline="0">
          <a:solidFill>
            <a:srgbClr val="000000"/>
          </a:solidFill>
          <a:latin typeface="Roboto Condensed Light" panose="02000000000000000000" pitchFamily="2" charset="0"/>
          <a:ea typeface="Roboto Condensed Light" panose="02000000000000000000" pitchFamily="2" charset="0"/>
          <a:cs typeface="Calibri"/>
        </a:defRPr>
      </a:pPr>
      <a:endParaRPr lang="en-US"/>
    </a:p>
  </c:txPr>
  <c:externalData r:id="rId1">
    <c:autoUpdate val="false"/>
  </c:externalData>
</c:chartSpace>
</file>

<file path=word/charts/colors1.xml><?xml version="1.0" encoding="utf-8"?>
<cs:colorStyle xmlns:cs="http://schemas.microsoft.com/office/drawing/2012/chartStyle" xmlns:a="http://schemas.openxmlformats.org/drawingml/2006/main" id="10" meth="cycle">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id="10" meth="cycle">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id="10" meth="cycle">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id="10" meth="cycle">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id="10" meth="cycle">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id="10" meth="cycle">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id="10" meth="cycle">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id="10" meth="cycle">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id="10" meth="cycle">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id="10" meth="cycle">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id="10" meth="cycle">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kern="1200" sz="1000"/>
  </cs:axisTitle>
  <cs:categoryAxis>
    <cs:lnRef idx="0"/>
    <cs:fillRef idx="0"/>
    <cs:effectRef idx="0"/>
    <cs:fontRef idx="minor">
      <a:schemeClr val="tx1">
        <a:lumMod val="65000"/>
        <a:lumOff val="35000"/>
      </a:schemeClr>
    </cs:fontRef>
    <cs:spPr>
      <a:ln algn="ctr" cap="flat" cmpd="sng" w="9525">
        <a:solidFill>
          <a:schemeClr val="tx1">
            <a:lumMod val="15000"/>
            <a:lumOff val="85000"/>
          </a:schemeClr>
        </a:solidFill>
        <a:round/>
      </a:ln>
    </cs:spPr>
    <cs:defRPr kern="1200" sz="900"/>
  </cs:categoryAxis>
  <cs:chartArea mods="allowNoFillOverride allowNoLineOverride">
    <cs:lnRef idx="0"/>
    <cs:fillRef idx="0"/>
    <cs:effectRef idx="0"/>
    <cs:fontRef idx="minor">
      <a:schemeClr val="tx1"/>
    </cs:fontRef>
    <cs:spPr>
      <a:solidFill>
        <a:schemeClr val="bg1"/>
      </a:solidFill>
      <a:ln algn="ctr" cap="flat" cmpd="sng" w="9525">
        <a:solidFill>
          <a:schemeClr val="tx1">
            <a:lumMod val="15000"/>
            <a:lumOff val="85000"/>
          </a:schemeClr>
        </a:solidFill>
        <a:round/>
      </a:ln>
    </cs:spPr>
    <cs:defRPr kern="1200" sz="1000"/>
  </cs:chartArea>
  <cs:dataLabel>
    <cs:lnRef idx="0"/>
    <cs:fillRef idx="0"/>
    <cs:effectRef idx="0"/>
    <cs:fontRef idx="minor">
      <a:schemeClr val="tx1">
        <a:lumMod val="75000"/>
        <a:lumOff val="25000"/>
      </a:schemeClr>
    </cs:fontRef>
    <cs:defRPr kern="1200"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kern="1200" sz="900"/>
    <cs:bodyPr anchor="ctr" anchorCtr="1" bIns="18288" horzOverflow="clip" lIns="36576" rIns="36576" rot="0" spcFirstLastPara="1" tIns="18288" vert="horz" vertOverflow="clip" wrap="square">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cap="rnd" w="28575">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ize="5" symbol="circle"/>
  <cs:dataPointWireframe>
    <cs:lnRef idx="0">
      <cs:styleClr val="auto"/>
    </cs:lnRef>
    <cs:fillRef idx="1"/>
    <cs:effectRef idx="0"/>
    <cs:fontRef idx="minor">
      <a:schemeClr val="tx1"/>
    </cs:fontRef>
    <cs:spPr>
      <a:ln cap="rnd" w="9525">
        <a:solidFill>
          <a:schemeClr val="phClr"/>
        </a:solidFill>
        <a:round/>
      </a:ln>
    </cs:spPr>
  </cs:dataPointWireframe>
  <cs:dataTable>
    <cs:lnRef idx="0"/>
    <cs:fillRef idx="0"/>
    <cs:effectRef idx="0"/>
    <cs:fontRef idx="minor">
      <a:schemeClr val="tx1">
        <a:lumMod val="65000"/>
        <a:lumOff val="35000"/>
      </a:schemeClr>
    </cs:fontRef>
    <cs:spPr>
      <a:noFill/>
      <a:ln algn="ctr" cap="flat" cmpd="sng" w="9525">
        <a:solidFill>
          <a:schemeClr val="tx1">
            <a:lumMod val="15000"/>
            <a:lumOff val="85000"/>
          </a:schemeClr>
        </a:solidFill>
        <a:round/>
      </a:ln>
    </cs:spPr>
    <cs:defRPr kern="1200"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algn="ctr" cap="flat" cmpd="sng" w="9525">
        <a:solidFill>
          <a:schemeClr val="tx1">
            <a:lumMod val="35000"/>
            <a:lumOff val="65000"/>
          </a:schemeClr>
        </a:solidFill>
        <a:round/>
      </a:ln>
    </cs:spPr>
  </cs:dropLine>
  <cs:errorBar>
    <cs:lnRef idx="0"/>
    <cs:fillRef idx="0"/>
    <cs:effectRef idx="0"/>
    <cs:fontRef idx="minor">
      <a:schemeClr val="tx1"/>
    </cs:fontRef>
    <cs:spPr>
      <a:ln algn="ctr" cap="flat" cmpd="sng"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algn="ctr" cap="flat" cmpd="sng" w="9525">
        <a:solidFill>
          <a:schemeClr val="tx1">
            <a:lumMod val="15000"/>
            <a:lumOff val="85000"/>
          </a:schemeClr>
        </a:solidFill>
        <a:round/>
      </a:ln>
    </cs:spPr>
  </cs:gridlineMajor>
  <cs:gridlineMinor>
    <cs:lnRef idx="0"/>
    <cs:fillRef idx="0"/>
    <cs:effectRef idx="0"/>
    <cs:fontRef idx="minor">
      <a:schemeClr val="tx1"/>
    </cs:fontRef>
    <cs:spPr>
      <a:ln algn="ctr" cap="flat" cmpd="sng" w="9525">
        <a:solidFill>
          <a:schemeClr val="tx1">
            <a:lumMod val="5000"/>
            <a:lumOff val="95000"/>
          </a:schemeClr>
        </a:solidFill>
        <a:round/>
      </a:ln>
    </cs:spPr>
  </cs:gridlineMinor>
  <cs:hiLoLine>
    <cs:lnRef idx="0"/>
    <cs:fillRef idx="0"/>
    <cs:effectRef idx="0"/>
    <cs:fontRef idx="minor">
      <a:schemeClr val="tx1"/>
    </cs:fontRef>
    <cs:spPr>
      <a:ln algn="ctr" cap="flat" cmpd="sng" w="9525">
        <a:solidFill>
          <a:schemeClr val="tx1">
            <a:lumMod val="75000"/>
            <a:lumOff val="25000"/>
          </a:schemeClr>
        </a:solidFill>
        <a:round/>
      </a:ln>
    </cs:spPr>
  </cs:hiLoLine>
  <cs:leaderLine>
    <cs:lnRef idx="0"/>
    <cs:fillRef idx="0"/>
    <cs:effectRef idx="0"/>
    <cs:fontRef idx="minor">
      <a:schemeClr val="tx1"/>
    </cs:fontRef>
    <cs:spPr>
      <a:ln algn="ctr" cap="flat" cmpd="sng" w="9525">
        <a:solidFill>
          <a:schemeClr val="tx1">
            <a:lumMod val="35000"/>
            <a:lumOff val="65000"/>
          </a:schemeClr>
        </a:solidFill>
        <a:round/>
      </a:ln>
    </cs:spPr>
  </cs:leaderLine>
  <cs:legend>
    <cs:lnRef idx="0"/>
    <cs:fillRef idx="0"/>
    <cs:effectRef idx="0"/>
    <cs:fontRef idx="minor">
      <a:schemeClr val="tx1">
        <a:lumMod val="65000"/>
        <a:lumOff val="35000"/>
      </a:schemeClr>
    </cs:fontRef>
    <cs:defRPr kern="1200"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kern="1200" sz="900"/>
  </cs:seriesAxis>
  <cs:seriesLine>
    <cs:lnRef idx="0"/>
    <cs:fillRef idx="0"/>
    <cs:effectRef idx="0"/>
    <cs:fontRef idx="minor">
      <a:schemeClr val="tx1"/>
    </cs:fontRef>
    <cs:spPr>
      <a:ln algn="ctr" cap="flat" cmpd="sng" w="9525">
        <a:solidFill>
          <a:schemeClr val="tx1">
            <a:lumMod val="35000"/>
            <a:lumOff val="65000"/>
          </a:schemeClr>
        </a:solidFill>
        <a:round/>
      </a:ln>
    </cs:spPr>
  </cs:seriesLine>
  <cs:title>
    <cs:lnRef idx="0"/>
    <cs:fillRef idx="0"/>
    <cs:effectRef idx="0"/>
    <cs:fontRef idx="minor">
      <a:schemeClr val="tx1">
        <a:lumMod val="65000"/>
        <a:lumOff val="35000"/>
      </a:schemeClr>
    </cs:fontRef>
    <cs:defRPr b="0" baseline="0" kern="1200" spc="0" sz="1400"/>
  </cs:title>
  <cs:trendline>
    <cs:lnRef idx="0">
      <cs:styleClr val="auto"/>
    </cs:lnRef>
    <cs:fillRef idx="0"/>
    <cs:effectRef idx="0"/>
    <cs:fontRef idx="minor">
      <a:schemeClr val="tx1"/>
    </cs:fontRef>
    <cs:spPr>
      <a:ln cap="rnd" w="19050">
        <a:solidFill>
          <a:schemeClr val="phClr"/>
        </a:solidFill>
        <a:prstDash val="sysDot"/>
      </a:ln>
    </cs:spPr>
  </cs:trendline>
  <cs:trendlineLabel>
    <cs:lnRef idx="0"/>
    <cs:fillRef idx="0"/>
    <cs:effectRef idx="0"/>
    <cs:fontRef idx="minor">
      <a:schemeClr val="tx1">
        <a:lumMod val="65000"/>
        <a:lumOff val="35000"/>
      </a:schemeClr>
    </cs:fontRef>
    <cs:defRPr kern="1200"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kern="1200" sz="9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kern="1200" sz="1000"/>
  </cs:axisTitle>
  <cs:categoryAxis>
    <cs:lnRef idx="0"/>
    <cs:fillRef idx="0"/>
    <cs:effectRef idx="0"/>
    <cs:fontRef idx="minor">
      <a:schemeClr val="tx1">
        <a:lumMod val="65000"/>
        <a:lumOff val="35000"/>
      </a:schemeClr>
    </cs:fontRef>
    <cs:spPr>
      <a:ln algn="ctr" cap="flat" cmpd="sng" w="9525">
        <a:solidFill>
          <a:schemeClr val="tx1">
            <a:lumMod val="15000"/>
            <a:lumOff val="85000"/>
          </a:schemeClr>
        </a:solidFill>
        <a:round/>
      </a:ln>
    </cs:spPr>
    <cs:defRPr kern="1200" sz="900"/>
  </cs:categoryAxis>
  <cs:chartArea mods="allowNoFillOverride allowNoLineOverride">
    <cs:lnRef idx="0"/>
    <cs:fillRef idx="0"/>
    <cs:effectRef idx="0"/>
    <cs:fontRef idx="minor">
      <a:schemeClr val="tx1"/>
    </cs:fontRef>
    <cs:spPr>
      <a:solidFill>
        <a:schemeClr val="bg1"/>
      </a:solidFill>
      <a:ln algn="ctr" cap="flat" cmpd="sng" w="9525">
        <a:solidFill>
          <a:schemeClr val="tx1">
            <a:lumMod val="15000"/>
            <a:lumOff val="85000"/>
          </a:schemeClr>
        </a:solidFill>
        <a:round/>
      </a:ln>
    </cs:spPr>
    <cs:defRPr kern="1200" sz="1000"/>
  </cs:chartArea>
  <cs:dataLabel>
    <cs:lnRef idx="0"/>
    <cs:fillRef idx="0"/>
    <cs:effectRef idx="0"/>
    <cs:fontRef idx="minor">
      <a:schemeClr val="tx1">
        <a:lumMod val="75000"/>
        <a:lumOff val="25000"/>
      </a:schemeClr>
    </cs:fontRef>
    <cs:defRPr kern="1200"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kern="1200" sz="900"/>
    <cs:bodyPr anchor="ctr" anchorCtr="1" bIns="18288" horzOverflow="clip" lIns="36576" rIns="36576" rot="0" spcFirstLastPara="1" tIns="18288" vert="horz" vertOverflow="clip" wrap="square">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cap="rnd" w="28575">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ize="5" symbol="circle"/>
  <cs:dataPointWireframe>
    <cs:lnRef idx="0">
      <cs:styleClr val="auto"/>
    </cs:lnRef>
    <cs:fillRef idx="1"/>
    <cs:effectRef idx="0"/>
    <cs:fontRef idx="minor">
      <a:schemeClr val="tx1"/>
    </cs:fontRef>
    <cs:spPr>
      <a:ln cap="rnd" w="9525">
        <a:solidFill>
          <a:schemeClr val="phClr"/>
        </a:solidFill>
        <a:round/>
      </a:ln>
    </cs:spPr>
  </cs:dataPointWireframe>
  <cs:dataTable>
    <cs:lnRef idx="0"/>
    <cs:fillRef idx="0"/>
    <cs:effectRef idx="0"/>
    <cs:fontRef idx="minor">
      <a:schemeClr val="tx1">
        <a:lumMod val="65000"/>
        <a:lumOff val="35000"/>
      </a:schemeClr>
    </cs:fontRef>
    <cs:spPr>
      <a:noFill/>
      <a:ln algn="ctr" cap="flat" cmpd="sng" w="9525">
        <a:solidFill>
          <a:schemeClr val="tx1">
            <a:lumMod val="15000"/>
            <a:lumOff val="85000"/>
          </a:schemeClr>
        </a:solidFill>
        <a:round/>
      </a:ln>
    </cs:spPr>
    <cs:defRPr kern="1200"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algn="ctr" cap="flat" cmpd="sng" w="9525">
        <a:solidFill>
          <a:schemeClr val="tx1">
            <a:lumMod val="35000"/>
            <a:lumOff val="65000"/>
          </a:schemeClr>
        </a:solidFill>
        <a:round/>
      </a:ln>
    </cs:spPr>
  </cs:dropLine>
  <cs:errorBar>
    <cs:lnRef idx="0"/>
    <cs:fillRef idx="0"/>
    <cs:effectRef idx="0"/>
    <cs:fontRef idx="minor">
      <a:schemeClr val="tx1"/>
    </cs:fontRef>
    <cs:spPr>
      <a:ln algn="ctr" cap="flat" cmpd="sng"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algn="ctr" cap="flat" cmpd="sng" w="9525">
        <a:solidFill>
          <a:schemeClr val="tx1">
            <a:lumMod val="15000"/>
            <a:lumOff val="85000"/>
          </a:schemeClr>
        </a:solidFill>
        <a:round/>
      </a:ln>
    </cs:spPr>
  </cs:gridlineMajor>
  <cs:gridlineMinor>
    <cs:lnRef idx="0"/>
    <cs:fillRef idx="0"/>
    <cs:effectRef idx="0"/>
    <cs:fontRef idx="minor">
      <a:schemeClr val="tx1"/>
    </cs:fontRef>
    <cs:spPr>
      <a:ln algn="ctr" cap="flat" cmpd="sng" w="9525">
        <a:solidFill>
          <a:schemeClr val="tx1">
            <a:lumMod val="5000"/>
            <a:lumOff val="95000"/>
          </a:schemeClr>
        </a:solidFill>
        <a:round/>
      </a:ln>
    </cs:spPr>
  </cs:gridlineMinor>
  <cs:hiLoLine>
    <cs:lnRef idx="0"/>
    <cs:fillRef idx="0"/>
    <cs:effectRef idx="0"/>
    <cs:fontRef idx="minor">
      <a:schemeClr val="tx1"/>
    </cs:fontRef>
    <cs:spPr>
      <a:ln algn="ctr" cap="flat" cmpd="sng" w="9525">
        <a:solidFill>
          <a:schemeClr val="tx1">
            <a:lumMod val="75000"/>
            <a:lumOff val="25000"/>
          </a:schemeClr>
        </a:solidFill>
        <a:round/>
      </a:ln>
    </cs:spPr>
  </cs:hiLoLine>
  <cs:leaderLine>
    <cs:lnRef idx="0"/>
    <cs:fillRef idx="0"/>
    <cs:effectRef idx="0"/>
    <cs:fontRef idx="minor">
      <a:schemeClr val="tx1"/>
    </cs:fontRef>
    <cs:spPr>
      <a:ln algn="ctr" cap="flat" cmpd="sng" w="9525">
        <a:solidFill>
          <a:schemeClr val="tx1">
            <a:lumMod val="35000"/>
            <a:lumOff val="65000"/>
          </a:schemeClr>
        </a:solidFill>
        <a:round/>
      </a:ln>
    </cs:spPr>
  </cs:leaderLine>
  <cs:legend>
    <cs:lnRef idx="0"/>
    <cs:fillRef idx="0"/>
    <cs:effectRef idx="0"/>
    <cs:fontRef idx="minor">
      <a:schemeClr val="tx1">
        <a:lumMod val="65000"/>
        <a:lumOff val="35000"/>
      </a:schemeClr>
    </cs:fontRef>
    <cs:defRPr kern="1200"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kern="1200" sz="900"/>
  </cs:seriesAxis>
  <cs:seriesLine>
    <cs:lnRef idx="0"/>
    <cs:fillRef idx="0"/>
    <cs:effectRef idx="0"/>
    <cs:fontRef idx="minor">
      <a:schemeClr val="tx1"/>
    </cs:fontRef>
    <cs:spPr>
      <a:ln algn="ctr" cap="flat" cmpd="sng" w="9525">
        <a:solidFill>
          <a:schemeClr val="tx1">
            <a:lumMod val="35000"/>
            <a:lumOff val="65000"/>
          </a:schemeClr>
        </a:solidFill>
        <a:round/>
      </a:ln>
    </cs:spPr>
  </cs:seriesLine>
  <cs:title>
    <cs:lnRef idx="0"/>
    <cs:fillRef idx="0"/>
    <cs:effectRef idx="0"/>
    <cs:fontRef idx="minor">
      <a:schemeClr val="tx1">
        <a:lumMod val="65000"/>
        <a:lumOff val="35000"/>
      </a:schemeClr>
    </cs:fontRef>
    <cs:defRPr b="0" baseline="0" kern="1200" spc="0" sz="1400"/>
  </cs:title>
  <cs:trendline>
    <cs:lnRef idx="0">
      <cs:styleClr val="auto"/>
    </cs:lnRef>
    <cs:fillRef idx="0"/>
    <cs:effectRef idx="0"/>
    <cs:fontRef idx="minor">
      <a:schemeClr val="tx1"/>
    </cs:fontRef>
    <cs:spPr>
      <a:ln cap="rnd" w="19050">
        <a:solidFill>
          <a:schemeClr val="phClr"/>
        </a:solidFill>
        <a:prstDash val="sysDot"/>
      </a:ln>
    </cs:spPr>
  </cs:trendline>
  <cs:trendlineLabel>
    <cs:lnRef idx="0"/>
    <cs:fillRef idx="0"/>
    <cs:effectRef idx="0"/>
    <cs:fontRef idx="minor">
      <a:schemeClr val="tx1">
        <a:lumMod val="65000"/>
        <a:lumOff val="35000"/>
      </a:schemeClr>
    </cs:fontRef>
    <cs:defRPr kern="1200"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kern="1200" sz="9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kern="1200" sz="1000"/>
  </cs:axisTitle>
  <cs:categoryAxis>
    <cs:lnRef idx="0"/>
    <cs:fillRef idx="0"/>
    <cs:effectRef idx="0"/>
    <cs:fontRef idx="minor">
      <a:schemeClr val="tx1">
        <a:lumMod val="65000"/>
        <a:lumOff val="35000"/>
      </a:schemeClr>
    </cs:fontRef>
    <cs:spPr>
      <a:ln algn="ctr" cap="flat" cmpd="sng" w="9525">
        <a:solidFill>
          <a:schemeClr val="tx1">
            <a:lumMod val="15000"/>
            <a:lumOff val="85000"/>
          </a:schemeClr>
        </a:solidFill>
        <a:round/>
      </a:ln>
    </cs:spPr>
    <cs:defRPr kern="1200" sz="900"/>
  </cs:categoryAxis>
  <cs:chartArea mods="allowNoFillOverride allowNoLineOverride">
    <cs:lnRef idx="0"/>
    <cs:fillRef idx="0"/>
    <cs:effectRef idx="0"/>
    <cs:fontRef idx="minor">
      <a:schemeClr val="tx1"/>
    </cs:fontRef>
    <cs:spPr>
      <a:solidFill>
        <a:schemeClr val="bg1"/>
      </a:solidFill>
      <a:ln algn="ctr" cap="flat" cmpd="sng" w="9525">
        <a:solidFill>
          <a:schemeClr val="tx1">
            <a:lumMod val="15000"/>
            <a:lumOff val="85000"/>
          </a:schemeClr>
        </a:solidFill>
        <a:round/>
      </a:ln>
    </cs:spPr>
    <cs:defRPr kern="1200" sz="1000"/>
  </cs:chartArea>
  <cs:dataLabel>
    <cs:lnRef idx="0"/>
    <cs:fillRef idx="0"/>
    <cs:effectRef idx="0"/>
    <cs:fontRef idx="minor">
      <a:schemeClr val="tx1">
        <a:lumMod val="75000"/>
        <a:lumOff val="25000"/>
      </a:schemeClr>
    </cs:fontRef>
    <cs:defRPr kern="1200"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kern="1200" sz="900"/>
    <cs:bodyPr anchor="ctr" anchorCtr="1" bIns="18288" horzOverflow="clip" lIns="36576" rIns="36576" rot="0" spcFirstLastPara="1" tIns="18288" vert="horz" vertOverflow="clip" wrap="squar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cap="rnd" w="28575">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ize="5" symbol="circle"/>
  <cs:dataPointWireframe>
    <cs:lnRef idx="0">
      <cs:styleClr val="auto"/>
    </cs:lnRef>
    <cs:fillRef idx="1"/>
    <cs:effectRef idx="0"/>
    <cs:fontRef idx="minor">
      <a:schemeClr val="tx1"/>
    </cs:fontRef>
    <cs:spPr>
      <a:ln cap="rnd" w="9525">
        <a:solidFill>
          <a:schemeClr val="phClr"/>
        </a:solidFill>
        <a:round/>
      </a:ln>
    </cs:spPr>
  </cs:dataPointWireframe>
  <cs:dataTable>
    <cs:lnRef idx="0"/>
    <cs:fillRef idx="0"/>
    <cs:effectRef idx="0"/>
    <cs:fontRef idx="minor">
      <a:schemeClr val="tx1">
        <a:lumMod val="65000"/>
        <a:lumOff val="35000"/>
      </a:schemeClr>
    </cs:fontRef>
    <cs:spPr>
      <a:noFill/>
      <a:ln algn="ctr" cap="flat" cmpd="sng" w="9525">
        <a:solidFill>
          <a:schemeClr val="tx1">
            <a:lumMod val="15000"/>
            <a:lumOff val="85000"/>
          </a:schemeClr>
        </a:solidFill>
        <a:round/>
      </a:ln>
    </cs:spPr>
    <cs:defRPr kern="1200"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algn="ctr" cap="flat" cmpd="sng" w="9525">
        <a:solidFill>
          <a:schemeClr val="tx1">
            <a:lumMod val="35000"/>
            <a:lumOff val="65000"/>
          </a:schemeClr>
        </a:solidFill>
        <a:round/>
      </a:ln>
    </cs:spPr>
  </cs:dropLine>
  <cs:errorBar>
    <cs:lnRef idx="0"/>
    <cs:fillRef idx="0"/>
    <cs:effectRef idx="0"/>
    <cs:fontRef idx="minor">
      <a:schemeClr val="tx1"/>
    </cs:fontRef>
    <cs:spPr>
      <a:ln algn="ctr" cap="flat" cmpd="sng"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algn="ctr" cap="flat" cmpd="sng" w="9525">
        <a:solidFill>
          <a:schemeClr val="tx1">
            <a:lumMod val="15000"/>
            <a:lumOff val="85000"/>
          </a:schemeClr>
        </a:solidFill>
        <a:round/>
      </a:ln>
    </cs:spPr>
  </cs:gridlineMajor>
  <cs:gridlineMinor>
    <cs:lnRef idx="0"/>
    <cs:fillRef idx="0"/>
    <cs:effectRef idx="0"/>
    <cs:fontRef idx="minor">
      <a:schemeClr val="tx1"/>
    </cs:fontRef>
    <cs:spPr>
      <a:ln algn="ctr" cap="flat" cmpd="sng" w="9525">
        <a:solidFill>
          <a:schemeClr val="tx1">
            <a:lumMod val="5000"/>
            <a:lumOff val="95000"/>
          </a:schemeClr>
        </a:solidFill>
        <a:round/>
      </a:ln>
    </cs:spPr>
  </cs:gridlineMinor>
  <cs:hiLoLine>
    <cs:lnRef idx="0"/>
    <cs:fillRef idx="0"/>
    <cs:effectRef idx="0"/>
    <cs:fontRef idx="minor">
      <a:schemeClr val="tx1"/>
    </cs:fontRef>
    <cs:spPr>
      <a:ln algn="ctr" cap="flat" cmpd="sng" w="9525">
        <a:solidFill>
          <a:schemeClr val="tx1">
            <a:lumMod val="75000"/>
            <a:lumOff val="25000"/>
          </a:schemeClr>
        </a:solidFill>
        <a:round/>
      </a:ln>
    </cs:spPr>
  </cs:hiLoLine>
  <cs:leaderLine>
    <cs:lnRef idx="0"/>
    <cs:fillRef idx="0"/>
    <cs:effectRef idx="0"/>
    <cs:fontRef idx="minor">
      <a:schemeClr val="tx1"/>
    </cs:fontRef>
    <cs:spPr>
      <a:ln algn="ctr" cap="flat" cmpd="sng" w="9525">
        <a:solidFill>
          <a:schemeClr val="tx1">
            <a:lumMod val="35000"/>
            <a:lumOff val="65000"/>
          </a:schemeClr>
        </a:solidFill>
        <a:round/>
      </a:ln>
    </cs:spPr>
  </cs:leaderLine>
  <cs:legend>
    <cs:lnRef idx="0"/>
    <cs:fillRef idx="0"/>
    <cs:effectRef idx="0"/>
    <cs:fontRef idx="minor">
      <a:schemeClr val="tx1">
        <a:lumMod val="65000"/>
        <a:lumOff val="35000"/>
      </a:schemeClr>
    </cs:fontRef>
    <cs:defRPr kern="1200"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kern="1200" sz="900"/>
  </cs:seriesAxis>
  <cs:seriesLine>
    <cs:lnRef idx="0"/>
    <cs:fillRef idx="0"/>
    <cs:effectRef idx="0"/>
    <cs:fontRef idx="minor">
      <a:schemeClr val="tx1"/>
    </cs:fontRef>
    <cs:spPr>
      <a:ln algn="ctr" cap="flat" cmpd="sng" w="9525">
        <a:solidFill>
          <a:schemeClr val="tx1">
            <a:lumMod val="35000"/>
            <a:lumOff val="65000"/>
          </a:schemeClr>
        </a:solidFill>
        <a:round/>
      </a:ln>
    </cs:spPr>
  </cs:seriesLine>
  <cs:title>
    <cs:lnRef idx="0"/>
    <cs:fillRef idx="0"/>
    <cs:effectRef idx="0"/>
    <cs:fontRef idx="minor">
      <a:schemeClr val="tx1">
        <a:lumMod val="65000"/>
        <a:lumOff val="35000"/>
      </a:schemeClr>
    </cs:fontRef>
    <cs:defRPr b="0" baseline="0" kern="1200" spc="0" sz="1400"/>
  </cs:title>
  <cs:trendline>
    <cs:lnRef idx="0">
      <cs:styleClr val="auto"/>
    </cs:lnRef>
    <cs:fillRef idx="0"/>
    <cs:effectRef idx="0"/>
    <cs:fontRef idx="minor">
      <a:schemeClr val="tx1"/>
    </cs:fontRef>
    <cs:spPr>
      <a:ln cap="rnd" w="19050">
        <a:solidFill>
          <a:schemeClr val="phClr"/>
        </a:solidFill>
        <a:prstDash val="sysDot"/>
      </a:ln>
    </cs:spPr>
  </cs:trendline>
  <cs:trendlineLabel>
    <cs:lnRef idx="0"/>
    <cs:fillRef idx="0"/>
    <cs:effectRef idx="0"/>
    <cs:fontRef idx="minor">
      <a:schemeClr val="tx1">
        <a:lumMod val="65000"/>
        <a:lumOff val="35000"/>
      </a:schemeClr>
    </cs:fontRef>
    <cs:defRPr kern="1200"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kern="1200" sz="9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kern="1200" sz="1000"/>
  </cs:axisTitle>
  <cs:categoryAxis>
    <cs:lnRef idx="0"/>
    <cs:fillRef idx="0"/>
    <cs:effectRef idx="0"/>
    <cs:fontRef idx="minor">
      <a:schemeClr val="tx1">
        <a:lumMod val="65000"/>
        <a:lumOff val="35000"/>
      </a:schemeClr>
    </cs:fontRef>
    <cs:spPr>
      <a:ln algn="ctr" cap="flat" cmpd="sng" w="9525">
        <a:solidFill>
          <a:schemeClr val="tx1">
            <a:lumMod val="15000"/>
            <a:lumOff val="85000"/>
          </a:schemeClr>
        </a:solidFill>
        <a:round/>
      </a:ln>
    </cs:spPr>
    <cs:defRPr kern="1200" sz="900"/>
  </cs:categoryAxis>
  <cs:chartArea mods="allowNoFillOverride allowNoLineOverride">
    <cs:lnRef idx="0"/>
    <cs:fillRef idx="0"/>
    <cs:effectRef idx="0"/>
    <cs:fontRef idx="minor">
      <a:schemeClr val="tx1"/>
    </cs:fontRef>
    <cs:spPr>
      <a:solidFill>
        <a:schemeClr val="bg1"/>
      </a:solidFill>
      <a:ln algn="ctr" cap="flat" cmpd="sng" w="9525">
        <a:solidFill>
          <a:schemeClr val="tx1">
            <a:lumMod val="15000"/>
            <a:lumOff val="85000"/>
          </a:schemeClr>
        </a:solidFill>
        <a:round/>
      </a:ln>
    </cs:spPr>
    <cs:defRPr kern="1200" sz="1000"/>
  </cs:chartArea>
  <cs:dataLabel>
    <cs:lnRef idx="0"/>
    <cs:fillRef idx="0"/>
    <cs:effectRef idx="0"/>
    <cs:fontRef idx="minor">
      <a:schemeClr val="tx1">
        <a:lumMod val="75000"/>
        <a:lumOff val="25000"/>
      </a:schemeClr>
    </cs:fontRef>
    <cs:defRPr kern="1200"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kern="1200" sz="900"/>
    <cs:bodyPr anchor="ctr" anchorCtr="1" bIns="18288" horzOverflow="clip" lIns="36576" rIns="36576" rot="0" spcFirstLastPara="1" tIns="18288" vert="horz" vertOverflow="clip" wrap="squar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cap="rnd" w="28575">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ize="5" symbol="circle"/>
  <cs:dataPointWireframe>
    <cs:lnRef idx="0">
      <cs:styleClr val="auto"/>
    </cs:lnRef>
    <cs:fillRef idx="1"/>
    <cs:effectRef idx="0"/>
    <cs:fontRef idx="minor">
      <a:schemeClr val="tx1"/>
    </cs:fontRef>
    <cs:spPr>
      <a:ln cap="rnd" w="9525">
        <a:solidFill>
          <a:schemeClr val="phClr"/>
        </a:solidFill>
        <a:round/>
      </a:ln>
    </cs:spPr>
  </cs:dataPointWireframe>
  <cs:dataTable>
    <cs:lnRef idx="0"/>
    <cs:fillRef idx="0"/>
    <cs:effectRef idx="0"/>
    <cs:fontRef idx="minor">
      <a:schemeClr val="tx1">
        <a:lumMod val="65000"/>
        <a:lumOff val="35000"/>
      </a:schemeClr>
    </cs:fontRef>
    <cs:spPr>
      <a:noFill/>
      <a:ln algn="ctr" cap="flat" cmpd="sng" w="9525">
        <a:solidFill>
          <a:schemeClr val="tx1">
            <a:lumMod val="15000"/>
            <a:lumOff val="85000"/>
          </a:schemeClr>
        </a:solidFill>
        <a:round/>
      </a:ln>
    </cs:spPr>
    <cs:defRPr kern="1200" sz="900"/>
  </cs:dataTable>
  <cs:downBar>
    <cs:lnRef idx="0"/>
    <cs:fillRef idx="0"/>
    <cs:effectRef idx="0"/>
    <cs:fontRef idx="minor">
      <a:schemeClr val="tx1"/>
    </cs:fontRef>
    <cs:spPr>
      <a:solidFill>
        <a:schemeClr val="dk1">
          <a:lumMod val="75000"/>
          <a:lumOff val="25000"/>
        </a:schemeClr>
      </a:solidFill>
      <a:ln algn="ctr" cap="flat" cmpd="sng" w="9525">
        <a:solidFill>
          <a:schemeClr val="tx1">
            <a:lumMod val="65000"/>
            <a:lumOff val="35000"/>
          </a:schemeClr>
        </a:solidFill>
        <a:round/>
      </a:ln>
    </cs:spPr>
  </cs:downBar>
  <cs:dropLine>
    <cs:lnRef idx="0"/>
    <cs:fillRef idx="0"/>
    <cs:effectRef idx="0"/>
    <cs:fontRef idx="minor">
      <a:schemeClr val="tx1"/>
    </cs:fontRef>
    <cs:spPr>
      <a:ln algn="ctr" cap="flat" cmpd="sng" w="9525">
        <a:solidFill>
          <a:schemeClr val="tx1">
            <a:lumMod val="35000"/>
            <a:lumOff val="65000"/>
          </a:schemeClr>
        </a:solidFill>
        <a:round/>
      </a:ln>
    </cs:spPr>
  </cs:dropLine>
  <cs:errorBar>
    <cs:lnRef idx="0"/>
    <cs:fillRef idx="0"/>
    <cs:effectRef idx="0"/>
    <cs:fontRef idx="minor">
      <a:schemeClr val="tx1"/>
    </cs:fontRef>
    <cs:spPr>
      <a:ln algn="ctr" cap="flat" cmpd="sng"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algn="ctr" cap="flat" cmpd="sng" w="9525">
        <a:solidFill>
          <a:schemeClr val="tx1">
            <a:lumMod val="15000"/>
            <a:lumOff val="85000"/>
          </a:schemeClr>
        </a:solidFill>
        <a:round/>
      </a:ln>
    </cs:spPr>
  </cs:gridlineMajor>
  <cs:gridlineMinor>
    <cs:lnRef idx="0"/>
    <cs:fillRef idx="0"/>
    <cs:effectRef idx="0"/>
    <cs:fontRef idx="minor">
      <a:schemeClr val="tx1"/>
    </cs:fontRef>
    <cs:spPr>
      <a:ln algn="ctr" cap="flat" cmpd="sng" w="9525">
        <a:solidFill>
          <a:schemeClr val="tx1">
            <a:lumMod val="5000"/>
            <a:lumOff val="95000"/>
          </a:schemeClr>
        </a:solidFill>
        <a:round/>
      </a:ln>
    </cs:spPr>
  </cs:gridlineMinor>
  <cs:hiLoLine>
    <cs:lnRef idx="0"/>
    <cs:fillRef idx="0"/>
    <cs:effectRef idx="0"/>
    <cs:fontRef idx="minor">
      <a:schemeClr val="tx1"/>
    </cs:fontRef>
    <cs:spPr>
      <a:ln algn="ctr" cap="flat" cmpd="sng" w="9525">
        <a:solidFill>
          <a:schemeClr val="tx1">
            <a:lumMod val="50000"/>
            <a:lumOff val="50000"/>
          </a:schemeClr>
        </a:solidFill>
        <a:round/>
      </a:ln>
    </cs:spPr>
  </cs:hiLoLine>
  <cs:leaderLine>
    <cs:lnRef idx="0"/>
    <cs:fillRef idx="0"/>
    <cs:effectRef idx="0"/>
    <cs:fontRef idx="minor">
      <a:schemeClr val="tx1"/>
    </cs:fontRef>
    <cs:spPr>
      <a:ln algn="ctr" cap="flat" cmpd="sng" w="9525">
        <a:solidFill>
          <a:schemeClr val="tx1">
            <a:lumMod val="35000"/>
            <a:lumOff val="65000"/>
          </a:schemeClr>
        </a:solidFill>
        <a:round/>
      </a:ln>
    </cs:spPr>
  </cs:leaderLine>
  <cs:legend>
    <cs:lnRef idx="0"/>
    <cs:fillRef idx="0"/>
    <cs:effectRef idx="0"/>
    <cs:fontRef idx="minor">
      <a:schemeClr val="tx1">
        <a:lumMod val="65000"/>
        <a:lumOff val="35000"/>
      </a:schemeClr>
    </cs:fontRef>
    <cs:defRPr kern="1200"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kern="1200" sz="900"/>
  </cs:seriesAxis>
  <cs:seriesLine>
    <cs:lnRef idx="0"/>
    <cs:fillRef idx="0"/>
    <cs:effectRef idx="0"/>
    <cs:fontRef idx="minor">
      <a:schemeClr val="tx1"/>
    </cs:fontRef>
    <cs:spPr>
      <a:ln algn="ctr" cap="flat" cmpd="sng" w="9525">
        <a:solidFill>
          <a:schemeClr val="tx1">
            <a:lumMod val="35000"/>
            <a:lumOff val="65000"/>
          </a:schemeClr>
        </a:solidFill>
        <a:round/>
      </a:ln>
    </cs:spPr>
  </cs:seriesLine>
  <cs:title>
    <cs:lnRef idx="0"/>
    <cs:fillRef idx="0"/>
    <cs:effectRef idx="0"/>
    <cs:fontRef idx="minor">
      <a:schemeClr val="tx1">
        <a:lumMod val="65000"/>
        <a:lumOff val="35000"/>
      </a:schemeClr>
    </cs:fontRef>
    <cs:defRPr b="0" baseline="0" kern="1200" spc="0" sz="1400"/>
  </cs:title>
  <cs:trendline>
    <cs:lnRef idx="0">
      <cs:styleClr val="auto"/>
    </cs:lnRef>
    <cs:fillRef idx="0"/>
    <cs:effectRef idx="0"/>
    <cs:fontRef idx="minor">
      <a:schemeClr val="tx1"/>
    </cs:fontRef>
    <cs:spPr>
      <a:ln cap="rnd" w="19050">
        <a:solidFill>
          <a:schemeClr val="phClr"/>
        </a:solidFill>
        <a:prstDash val="sysDot"/>
      </a:ln>
    </cs:spPr>
  </cs:trendline>
  <cs:trendlineLabel>
    <cs:lnRef idx="0"/>
    <cs:fillRef idx="0"/>
    <cs:effectRef idx="0"/>
    <cs:fontRef idx="minor">
      <a:schemeClr val="tx1">
        <a:lumMod val="65000"/>
        <a:lumOff val="35000"/>
      </a:schemeClr>
    </cs:fontRef>
    <cs:defRPr kern="1200" sz="900"/>
  </cs:trendlineLabel>
  <cs:upBar>
    <cs:lnRef idx="0"/>
    <cs:fillRef idx="0"/>
    <cs:effectRef idx="0"/>
    <cs:fontRef idx="minor">
      <a:schemeClr val="tx1"/>
    </cs:fontRef>
    <cs:spPr>
      <a:solidFill>
        <a:schemeClr val="lt1"/>
      </a:solidFill>
      <a:ln algn="ctr" cap="flat" cmpd="sng" w="9525">
        <a:solidFill>
          <a:schemeClr val="tx1">
            <a:lumMod val="65000"/>
            <a:lumOff val="35000"/>
          </a:schemeClr>
        </a:solidFill>
        <a:round/>
      </a:ln>
    </cs:spPr>
  </cs:upBar>
  <cs:valueAxis>
    <cs:lnRef idx="0"/>
    <cs:fillRef idx="0"/>
    <cs:effectRef idx="0"/>
    <cs:fontRef idx="minor">
      <a:schemeClr val="tx1">
        <a:lumMod val="65000"/>
        <a:lumOff val="35000"/>
      </a:schemeClr>
    </cs:fontRef>
    <cs:defRPr kern="1200" sz="9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kern="1200" sz="1000"/>
  </cs:axisTitle>
  <cs:categoryAxis>
    <cs:lnRef idx="0"/>
    <cs:fillRef idx="0"/>
    <cs:effectRef idx="0"/>
    <cs:fontRef idx="minor">
      <a:schemeClr val="tx1">
        <a:lumMod val="65000"/>
        <a:lumOff val="35000"/>
      </a:schemeClr>
    </cs:fontRef>
    <cs:spPr>
      <a:ln algn="ctr" cap="flat" cmpd="sng" w="9525">
        <a:solidFill>
          <a:schemeClr val="tx1">
            <a:lumMod val="15000"/>
            <a:lumOff val="85000"/>
          </a:schemeClr>
        </a:solidFill>
        <a:round/>
      </a:ln>
    </cs:spPr>
    <cs:defRPr kern="1200" sz="900"/>
  </cs:categoryAxis>
  <cs:chartArea mods="allowNoFillOverride allowNoLineOverride">
    <cs:lnRef idx="0"/>
    <cs:fillRef idx="0"/>
    <cs:effectRef idx="0"/>
    <cs:fontRef idx="minor">
      <a:schemeClr val="tx1"/>
    </cs:fontRef>
    <cs:spPr>
      <a:solidFill>
        <a:schemeClr val="bg1"/>
      </a:solidFill>
      <a:ln algn="ctr" cap="flat" cmpd="sng" w="9525">
        <a:solidFill>
          <a:schemeClr val="tx1">
            <a:lumMod val="15000"/>
            <a:lumOff val="85000"/>
          </a:schemeClr>
        </a:solidFill>
        <a:round/>
      </a:ln>
    </cs:spPr>
    <cs:defRPr kern="1200" sz="1000"/>
  </cs:chartArea>
  <cs:dataLabel>
    <cs:lnRef idx="0"/>
    <cs:fillRef idx="0"/>
    <cs:effectRef idx="0"/>
    <cs:fontRef idx="minor">
      <a:schemeClr val="tx1">
        <a:lumMod val="75000"/>
        <a:lumOff val="25000"/>
      </a:schemeClr>
    </cs:fontRef>
    <cs:defRPr kern="1200"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kern="1200" sz="900"/>
    <cs:bodyPr anchor="ctr" anchorCtr="1" bIns="18288" horzOverflow="clip" lIns="36576" rIns="36576" rot="0" spcFirstLastPara="1" tIns="18288" vert="horz" vertOverflow="clip" wrap="squar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cap="rnd" w="28575">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ize="5" symbol="circle"/>
  <cs:dataPointWireframe>
    <cs:lnRef idx="0">
      <cs:styleClr val="auto"/>
    </cs:lnRef>
    <cs:fillRef idx="1"/>
    <cs:effectRef idx="0"/>
    <cs:fontRef idx="minor">
      <a:schemeClr val="tx1"/>
    </cs:fontRef>
    <cs:spPr>
      <a:ln cap="rnd" w="9525">
        <a:solidFill>
          <a:schemeClr val="phClr"/>
        </a:solidFill>
        <a:round/>
      </a:ln>
    </cs:spPr>
  </cs:dataPointWireframe>
  <cs:dataTable>
    <cs:lnRef idx="0"/>
    <cs:fillRef idx="0"/>
    <cs:effectRef idx="0"/>
    <cs:fontRef idx="minor">
      <a:schemeClr val="tx1">
        <a:lumMod val="65000"/>
        <a:lumOff val="35000"/>
      </a:schemeClr>
    </cs:fontRef>
    <cs:spPr>
      <a:noFill/>
      <a:ln algn="ctr" cap="flat" cmpd="sng" w="9525">
        <a:solidFill>
          <a:schemeClr val="tx1">
            <a:lumMod val="15000"/>
            <a:lumOff val="85000"/>
          </a:schemeClr>
        </a:solidFill>
        <a:round/>
      </a:ln>
    </cs:spPr>
    <cs:defRPr kern="1200" sz="900"/>
  </cs:dataTable>
  <cs:downBar>
    <cs:lnRef idx="0"/>
    <cs:fillRef idx="0"/>
    <cs:effectRef idx="0"/>
    <cs:fontRef idx="minor">
      <a:schemeClr val="tx1"/>
    </cs:fontRef>
    <cs:spPr>
      <a:solidFill>
        <a:schemeClr val="dk1">
          <a:lumMod val="75000"/>
          <a:lumOff val="25000"/>
        </a:schemeClr>
      </a:solidFill>
      <a:ln algn="ctr" cap="flat" cmpd="sng" w="9525">
        <a:solidFill>
          <a:schemeClr val="tx1">
            <a:lumMod val="65000"/>
            <a:lumOff val="35000"/>
          </a:schemeClr>
        </a:solidFill>
        <a:round/>
      </a:ln>
    </cs:spPr>
  </cs:downBar>
  <cs:dropLine>
    <cs:lnRef idx="0"/>
    <cs:fillRef idx="0"/>
    <cs:effectRef idx="0"/>
    <cs:fontRef idx="minor">
      <a:schemeClr val="tx1"/>
    </cs:fontRef>
    <cs:spPr>
      <a:ln algn="ctr" cap="flat" cmpd="sng" w="9525">
        <a:solidFill>
          <a:schemeClr val="tx1">
            <a:lumMod val="35000"/>
            <a:lumOff val="65000"/>
          </a:schemeClr>
        </a:solidFill>
        <a:round/>
      </a:ln>
    </cs:spPr>
  </cs:dropLine>
  <cs:errorBar>
    <cs:lnRef idx="0"/>
    <cs:fillRef idx="0"/>
    <cs:effectRef idx="0"/>
    <cs:fontRef idx="minor">
      <a:schemeClr val="tx1"/>
    </cs:fontRef>
    <cs:spPr>
      <a:ln algn="ctr" cap="flat" cmpd="sng"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algn="ctr" cap="flat" cmpd="sng" w="9525">
        <a:solidFill>
          <a:schemeClr val="tx1">
            <a:lumMod val="15000"/>
            <a:lumOff val="85000"/>
          </a:schemeClr>
        </a:solidFill>
        <a:round/>
      </a:ln>
    </cs:spPr>
  </cs:gridlineMajor>
  <cs:gridlineMinor>
    <cs:lnRef idx="0"/>
    <cs:fillRef idx="0"/>
    <cs:effectRef idx="0"/>
    <cs:fontRef idx="minor">
      <a:schemeClr val="tx1"/>
    </cs:fontRef>
    <cs:spPr>
      <a:ln algn="ctr" cap="flat" cmpd="sng" w="9525">
        <a:solidFill>
          <a:schemeClr val="tx1">
            <a:lumMod val="5000"/>
            <a:lumOff val="95000"/>
          </a:schemeClr>
        </a:solidFill>
        <a:round/>
      </a:ln>
    </cs:spPr>
  </cs:gridlineMinor>
  <cs:hiLoLine>
    <cs:lnRef idx="0"/>
    <cs:fillRef idx="0"/>
    <cs:effectRef idx="0"/>
    <cs:fontRef idx="minor">
      <a:schemeClr val="tx1"/>
    </cs:fontRef>
    <cs:spPr>
      <a:ln algn="ctr" cap="flat" cmpd="sng" w="9525">
        <a:solidFill>
          <a:schemeClr val="tx1">
            <a:lumMod val="50000"/>
            <a:lumOff val="50000"/>
          </a:schemeClr>
        </a:solidFill>
        <a:round/>
      </a:ln>
    </cs:spPr>
  </cs:hiLoLine>
  <cs:leaderLine>
    <cs:lnRef idx="0"/>
    <cs:fillRef idx="0"/>
    <cs:effectRef idx="0"/>
    <cs:fontRef idx="minor">
      <a:schemeClr val="tx1"/>
    </cs:fontRef>
    <cs:spPr>
      <a:ln algn="ctr" cap="flat" cmpd="sng" w="9525">
        <a:solidFill>
          <a:schemeClr val="tx1">
            <a:lumMod val="35000"/>
            <a:lumOff val="65000"/>
          </a:schemeClr>
        </a:solidFill>
        <a:round/>
      </a:ln>
    </cs:spPr>
  </cs:leaderLine>
  <cs:legend>
    <cs:lnRef idx="0"/>
    <cs:fillRef idx="0"/>
    <cs:effectRef idx="0"/>
    <cs:fontRef idx="minor">
      <a:schemeClr val="tx1">
        <a:lumMod val="65000"/>
        <a:lumOff val="35000"/>
      </a:schemeClr>
    </cs:fontRef>
    <cs:defRPr kern="1200"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kern="1200" sz="900"/>
  </cs:seriesAxis>
  <cs:seriesLine>
    <cs:lnRef idx="0"/>
    <cs:fillRef idx="0"/>
    <cs:effectRef idx="0"/>
    <cs:fontRef idx="minor">
      <a:schemeClr val="tx1"/>
    </cs:fontRef>
    <cs:spPr>
      <a:ln algn="ctr" cap="flat" cmpd="sng" w="9525">
        <a:solidFill>
          <a:schemeClr val="tx1">
            <a:lumMod val="35000"/>
            <a:lumOff val="65000"/>
          </a:schemeClr>
        </a:solidFill>
        <a:round/>
      </a:ln>
    </cs:spPr>
  </cs:seriesLine>
  <cs:title>
    <cs:lnRef idx="0"/>
    <cs:fillRef idx="0"/>
    <cs:effectRef idx="0"/>
    <cs:fontRef idx="minor">
      <a:schemeClr val="tx1">
        <a:lumMod val="65000"/>
        <a:lumOff val="35000"/>
      </a:schemeClr>
    </cs:fontRef>
    <cs:defRPr b="0" baseline="0" kern="1200" spc="0" sz="1400"/>
  </cs:title>
  <cs:trendline>
    <cs:lnRef idx="0">
      <cs:styleClr val="auto"/>
    </cs:lnRef>
    <cs:fillRef idx="0"/>
    <cs:effectRef idx="0"/>
    <cs:fontRef idx="minor">
      <a:schemeClr val="tx1"/>
    </cs:fontRef>
    <cs:spPr>
      <a:ln cap="rnd" w="19050">
        <a:solidFill>
          <a:schemeClr val="phClr"/>
        </a:solidFill>
        <a:prstDash val="sysDot"/>
      </a:ln>
    </cs:spPr>
  </cs:trendline>
  <cs:trendlineLabel>
    <cs:lnRef idx="0"/>
    <cs:fillRef idx="0"/>
    <cs:effectRef idx="0"/>
    <cs:fontRef idx="minor">
      <a:schemeClr val="tx1">
        <a:lumMod val="65000"/>
        <a:lumOff val="35000"/>
      </a:schemeClr>
    </cs:fontRef>
    <cs:defRPr kern="1200" sz="900"/>
  </cs:trendlineLabel>
  <cs:upBar>
    <cs:lnRef idx="0"/>
    <cs:fillRef idx="0"/>
    <cs:effectRef idx="0"/>
    <cs:fontRef idx="minor">
      <a:schemeClr val="tx1"/>
    </cs:fontRef>
    <cs:spPr>
      <a:solidFill>
        <a:schemeClr val="lt1"/>
      </a:solidFill>
      <a:ln algn="ctr" cap="flat" cmpd="sng" w="9525">
        <a:solidFill>
          <a:schemeClr val="tx1">
            <a:lumMod val="65000"/>
            <a:lumOff val="35000"/>
          </a:schemeClr>
        </a:solidFill>
        <a:round/>
      </a:ln>
    </cs:spPr>
  </cs:upBar>
  <cs:valueAxis>
    <cs:lnRef idx="0"/>
    <cs:fillRef idx="0"/>
    <cs:effectRef idx="0"/>
    <cs:fontRef idx="minor">
      <a:schemeClr val="tx1">
        <a:lumMod val="65000"/>
        <a:lumOff val="35000"/>
      </a:schemeClr>
    </cs:fontRef>
    <cs:defRPr kern="1200" sz="9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kern="1200" sz="1000"/>
  </cs:axisTitle>
  <cs:categoryAxis>
    <cs:lnRef idx="0"/>
    <cs:fillRef idx="0"/>
    <cs:effectRef idx="0"/>
    <cs:fontRef idx="minor">
      <a:schemeClr val="tx1">
        <a:lumMod val="65000"/>
        <a:lumOff val="35000"/>
      </a:schemeClr>
    </cs:fontRef>
    <cs:spPr>
      <a:ln algn="ctr" cap="flat" cmpd="sng" w="9525">
        <a:solidFill>
          <a:schemeClr val="tx1">
            <a:lumMod val="15000"/>
            <a:lumOff val="85000"/>
          </a:schemeClr>
        </a:solidFill>
        <a:round/>
      </a:ln>
    </cs:spPr>
    <cs:defRPr kern="1200" sz="900"/>
  </cs:categoryAxis>
  <cs:chartArea mods="allowNoFillOverride allowNoLineOverride">
    <cs:lnRef idx="0"/>
    <cs:fillRef idx="0"/>
    <cs:effectRef idx="0"/>
    <cs:fontRef idx="minor">
      <a:schemeClr val="tx1"/>
    </cs:fontRef>
    <cs:spPr>
      <a:solidFill>
        <a:schemeClr val="bg1"/>
      </a:solidFill>
      <a:ln algn="ctr" cap="flat" cmpd="sng" w="9525">
        <a:solidFill>
          <a:schemeClr val="tx1">
            <a:lumMod val="15000"/>
            <a:lumOff val="85000"/>
          </a:schemeClr>
        </a:solidFill>
        <a:round/>
      </a:ln>
    </cs:spPr>
    <cs:defRPr kern="1200" sz="1000"/>
  </cs:chartArea>
  <cs:dataLabel>
    <cs:lnRef idx="0"/>
    <cs:fillRef idx="0"/>
    <cs:effectRef idx="0"/>
    <cs:fontRef idx="minor">
      <a:schemeClr val="tx1">
        <a:lumMod val="75000"/>
        <a:lumOff val="25000"/>
      </a:schemeClr>
    </cs:fontRef>
    <cs:defRPr kern="1200"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kern="1200" sz="900"/>
    <cs:bodyPr anchor="ctr" anchorCtr="1" bIns="18288" horzOverflow="clip" lIns="36576" rIns="36576" rot="0" spcFirstLastPara="1" tIns="18288" vert="horz" vertOverflow="clip" wrap="squar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cap="rnd" w="28575">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ize="5" symbol="circle"/>
  <cs:dataPointWireframe>
    <cs:lnRef idx="0">
      <cs:styleClr val="auto"/>
    </cs:lnRef>
    <cs:fillRef idx="1"/>
    <cs:effectRef idx="0"/>
    <cs:fontRef idx="minor">
      <a:schemeClr val="tx1"/>
    </cs:fontRef>
    <cs:spPr>
      <a:ln cap="rnd" w="9525">
        <a:solidFill>
          <a:schemeClr val="phClr"/>
        </a:solidFill>
        <a:round/>
      </a:ln>
    </cs:spPr>
  </cs:dataPointWireframe>
  <cs:dataTable>
    <cs:lnRef idx="0"/>
    <cs:fillRef idx="0"/>
    <cs:effectRef idx="0"/>
    <cs:fontRef idx="minor">
      <a:schemeClr val="tx1">
        <a:lumMod val="65000"/>
        <a:lumOff val="35000"/>
      </a:schemeClr>
    </cs:fontRef>
    <cs:spPr>
      <a:noFill/>
      <a:ln algn="ctr" cap="flat" cmpd="sng" w="9525">
        <a:solidFill>
          <a:schemeClr val="tx1">
            <a:lumMod val="15000"/>
            <a:lumOff val="85000"/>
          </a:schemeClr>
        </a:solidFill>
        <a:round/>
      </a:ln>
    </cs:spPr>
    <cs:defRPr kern="1200"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algn="ctr" cap="flat" cmpd="sng" w="9525">
        <a:solidFill>
          <a:schemeClr val="tx1">
            <a:lumMod val="35000"/>
            <a:lumOff val="65000"/>
          </a:schemeClr>
        </a:solidFill>
        <a:round/>
      </a:ln>
    </cs:spPr>
  </cs:dropLine>
  <cs:errorBar>
    <cs:lnRef idx="0"/>
    <cs:fillRef idx="0"/>
    <cs:effectRef idx="0"/>
    <cs:fontRef idx="minor">
      <a:schemeClr val="tx1"/>
    </cs:fontRef>
    <cs:spPr>
      <a:ln algn="ctr" cap="flat" cmpd="sng"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algn="ctr" cap="flat" cmpd="sng" w="9525">
        <a:solidFill>
          <a:schemeClr val="tx1">
            <a:lumMod val="15000"/>
            <a:lumOff val="85000"/>
          </a:schemeClr>
        </a:solidFill>
        <a:round/>
      </a:ln>
    </cs:spPr>
  </cs:gridlineMajor>
  <cs:gridlineMinor>
    <cs:lnRef idx="0"/>
    <cs:fillRef idx="0"/>
    <cs:effectRef idx="0"/>
    <cs:fontRef idx="minor">
      <a:schemeClr val="tx1"/>
    </cs:fontRef>
    <cs:spPr>
      <a:ln algn="ctr" cap="flat" cmpd="sng" w="9525">
        <a:solidFill>
          <a:schemeClr val="tx1">
            <a:lumMod val="5000"/>
            <a:lumOff val="95000"/>
          </a:schemeClr>
        </a:solidFill>
        <a:round/>
      </a:ln>
    </cs:spPr>
  </cs:gridlineMinor>
  <cs:hiLoLine>
    <cs:lnRef idx="0"/>
    <cs:fillRef idx="0"/>
    <cs:effectRef idx="0"/>
    <cs:fontRef idx="minor">
      <a:schemeClr val="tx1"/>
    </cs:fontRef>
    <cs:spPr>
      <a:ln algn="ctr" cap="flat" cmpd="sng" w="9525">
        <a:solidFill>
          <a:schemeClr val="tx1">
            <a:lumMod val="75000"/>
            <a:lumOff val="25000"/>
          </a:schemeClr>
        </a:solidFill>
        <a:round/>
      </a:ln>
    </cs:spPr>
  </cs:hiLoLine>
  <cs:leaderLine>
    <cs:lnRef idx="0"/>
    <cs:fillRef idx="0"/>
    <cs:effectRef idx="0"/>
    <cs:fontRef idx="minor">
      <a:schemeClr val="tx1"/>
    </cs:fontRef>
    <cs:spPr>
      <a:ln algn="ctr" cap="flat" cmpd="sng" w="9525">
        <a:solidFill>
          <a:schemeClr val="tx1">
            <a:lumMod val="35000"/>
            <a:lumOff val="65000"/>
          </a:schemeClr>
        </a:solidFill>
        <a:round/>
      </a:ln>
    </cs:spPr>
  </cs:leaderLine>
  <cs:legend>
    <cs:lnRef idx="0"/>
    <cs:fillRef idx="0"/>
    <cs:effectRef idx="0"/>
    <cs:fontRef idx="minor">
      <a:schemeClr val="tx1">
        <a:lumMod val="65000"/>
        <a:lumOff val="35000"/>
      </a:schemeClr>
    </cs:fontRef>
    <cs:defRPr kern="1200"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kern="1200" sz="900"/>
  </cs:seriesAxis>
  <cs:seriesLine>
    <cs:lnRef idx="0"/>
    <cs:fillRef idx="0"/>
    <cs:effectRef idx="0"/>
    <cs:fontRef idx="minor">
      <a:schemeClr val="tx1"/>
    </cs:fontRef>
    <cs:spPr>
      <a:ln algn="ctr" cap="flat" cmpd="sng" w="9525">
        <a:solidFill>
          <a:schemeClr val="tx1">
            <a:lumMod val="35000"/>
            <a:lumOff val="65000"/>
          </a:schemeClr>
        </a:solidFill>
        <a:round/>
      </a:ln>
    </cs:spPr>
  </cs:seriesLine>
  <cs:title>
    <cs:lnRef idx="0"/>
    <cs:fillRef idx="0"/>
    <cs:effectRef idx="0"/>
    <cs:fontRef idx="minor">
      <a:schemeClr val="tx1">
        <a:lumMod val="65000"/>
        <a:lumOff val="35000"/>
      </a:schemeClr>
    </cs:fontRef>
    <cs:defRPr b="0" baseline="0" kern="1200" spc="0" sz="1400"/>
  </cs:title>
  <cs:trendline>
    <cs:lnRef idx="0">
      <cs:styleClr val="auto"/>
    </cs:lnRef>
    <cs:fillRef idx="0"/>
    <cs:effectRef idx="0"/>
    <cs:fontRef idx="minor">
      <a:schemeClr val="tx1"/>
    </cs:fontRef>
    <cs:spPr>
      <a:ln cap="rnd" w="19050">
        <a:solidFill>
          <a:schemeClr val="phClr"/>
        </a:solidFill>
        <a:prstDash val="sysDot"/>
      </a:ln>
    </cs:spPr>
  </cs:trendline>
  <cs:trendlineLabel>
    <cs:lnRef idx="0"/>
    <cs:fillRef idx="0"/>
    <cs:effectRef idx="0"/>
    <cs:fontRef idx="minor">
      <a:schemeClr val="tx1">
        <a:lumMod val="65000"/>
        <a:lumOff val="35000"/>
      </a:schemeClr>
    </cs:fontRef>
    <cs:defRPr kern="1200"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kern="1200" sz="9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kern="1200" sz="1000"/>
  </cs:axisTitle>
  <cs:categoryAxis>
    <cs:lnRef idx="0"/>
    <cs:fillRef idx="0"/>
    <cs:effectRef idx="0"/>
    <cs:fontRef idx="minor">
      <a:schemeClr val="tx1">
        <a:lumMod val="65000"/>
        <a:lumOff val="35000"/>
      </a:schemeClr>
    </cs:fontRef>
    <cs:spPr>
      <a:ln algn="ctr" cap="flat" cmpd="sng" w="9525">
        <a:solidFill>
          <a:schemeClr val="tx1">
            <a:lumMod val="15000"/>
            <a:lumOff val="85000"/>
          </a:schemeClr>
        </a:solidFill>
        <a:round/>
      </a:ln>
    </cs:spPr>
    <cs:defRPr kern="1200" sz="900"/>
  </cs:categoryAxis>
  <cs:chartArea mods="allowNoFillOverride allowNoLineOverride">
    <cs:lnRef idx="0"/>
    <cs:fillRef idx="0"/>
    <cs:effectRef idx="0"/>
    <cs:fontRef idx="minor">
      <a:schemeClr val="tx1"/>
    </cs:fontRef>
    <cs:spPr>
      <a:solidFill>
        <a:schemeClr val="bg1"/>
      </a:solidFill>
      <a:ln algn="ctr" cap="flat" cmpd="sng" w="9525">
        <a:solidFill>
          <a:schemeClr val="tx1">
            <a:lumMod val="15000"/>
            <a:lumOff val="85000"/>
          </a:schemeClr>
        </a:solidFill>
        <a:round/>
      </a:ln>
    </cs:spPr>
    <cs:defRPr kern="1200" sz="1000"/>
  </cs:chartArea>
  <cs:dataLabel>
    <cs:lnRef idx="0"/>
    <cs:fillRef idx="0"/>
    <cs:effectRef idx="0"/>
    <cs:fontRef idx="minor">
      <a:schemeClr val="tx1">
        <a:lumMod val="75000"/>
        <a:lumOff val="25000"/>
      </a:schemeClr>
    </cs:fontRef>
    <cs:defRPr kern="1200"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kern="1200" sz="900"/>
    <cs:bodyPr anchor="ctr" anchorCtr="1" bIns="18288" horzOverflow="clip" lIns="36576" rIns="36576" rot="0" spcFirstLastPara="1" tIns="18288" vert="horz" vertOverflow="clip" wrap="squar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cap="rnd" w="28575">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ize="5" symbol="circle"/>
  <cs:dataPointWireframe>
    <cs:lnRef idx="0">
      <cs:styleClr val="auto"/>
    </cs:lnRef>
    <cs:fillRef idx="1"/>
    <cs:effectRef idx="0"/>
    <cs:fontRef idx="minor">
      <a:schemeClr val="tx1"/>
    </cs:fontRef>
    <cs:spPr>
      <a:ln cap="rnd" w="9525">
        <a:solidFill>
          <a:schemeClr val="phClr"/>
        </a:solidFill>
        <a:round/>
      </a:ln>
    </cs:spPr>
  </cs:dataPointWireframe>
  <cs:dataTable>
    <cs:lnRef idx="0"/>
    <cs:fillRef idx="0"/>
    <cs:effectRef idx="0"/>
    <cs:fontRef idx="minor">
      <a:schemeClr val="tx1">
        <a:lumMod val="65000"/>
        <a:lumOff val="35000"/>
      </a:schemeClr>
    </cs:fontRef>
    <cs:spPr>
      <a:noFill/>
      <a:ln algn="ctr" cap="flat" cmpd="sng" w="9525">
        <a:solidFill>
          <a:schemeClr val="tx1">
            <a:lumMod val="15000"/>
            <a:lumOff val="85000"/>
          </a:schemeClr>
        </a:solidFill>
        <a:round/>
      </a:ln>
    </cs:spPr>
    <cs:defRPr kern="1200" sz="900"/>
  </cs:dataTable>
  <cs:downBar>
    <cs:lnRef idx="0"/>
    <cs:fillRef idx="0"/>
    <cs:effectRef idx="0"/>
    <cs:fontRef idx="minor">
      <a:schemeClr val="tx1"/>
    </cs:fontRef>
    <cs:spPr>
      <a:solidFill>
        <a:schemeClr val="dk1">
          <a:lumMod val="75000"/>
          <a:lumOff val="25000"/>
        </a:schemeClr>
      </a:solidFill>
      <a:ln algn="ctr" cap="flat" cmpd="sng" w="9525">
        <a:solidFill>
          <a:schemeClr val="tx1">
            <a:lumMod val="65000"/>
            <a:lumOff val="35000"/>
          </a:schemeClr>
        </a:solidFill>
        <a:round/>
      </a:ln>
    </cs:spPr>
  </cs:downBar>
  <cs:dropLine>
    <cs:lnRef idx="0"/>
    <cs:fillRef idx="0"/>
    <cs:effectRef idx="0"/>
    <cs:fontRef idx="minor">
      <a:schemeClr val="tx1"/>
    </cs:fontRef>
    <cs:spPr>
      <a:ln algn="ctr" cap="flat" cmpd="sng" w="9525">
        <a:solidFill>
          <a:schemeClr val="tx1">
            <a:lumMod val="35000"/>
            <a:lumOff val="65000"/>
          </a:schemeClr>
        </a:solidFill>
        <a:round/>
      </a:ln>
    </cs:spPr>
  </cs:dropLine>
  <cs:errorBar>
    <cs:lnRef idx="0"/>
    <cs:fillRef idx="0"/>
    <cs:effectRef idx="0"/>
    <cs:fontRef idx="minor">
      <a:schemeClr val="tx1"/>
    </cs:fontRef>
    <cs:spPr>
      <a:ln algn="ctr" cap="flat" cmpd="sng"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algn="ctr" cap="flat" cmpd="sng" w="9525">
        <a:solidFill>
          <a:schemeClr val="tx1">
            <a:lumMod val="15000"/>
            <a:lumOff val="85000"/>
          </a:schemeClr>
        </a:solidFill>
        <a:round/>
      </a:ln>
    </cs:spPr>
  </cs:gridlineMajor>
  <cs:gridlineMinor>
    <cs:lnRef idx="0"/>
    <cs:fillRef idx="0"/>
    <cs:effectRef idx="0"/>
    <cs:fontRef idx="minor">
      <a:schemeClr val="tx1"/>
    </cs:fontRef>
    <cs:spPr>
      <a:ln algn="ctr" cap="flat" cmpd="sng" w="9525">
        <a:solidFill>
          <a:schemeClr val="tx1">
            <a:lumMod val="5000"/>
            <a:lumOff val="95000"/>
          </a:schemeClr>
        </a:solidFill>
        <a:round/>
      </a:ln>
    </cs:spPr>
  </cs:gridlineMinor>
  <cs:hiLoLine>
    <cs:lnRef idx="0"/>
    <cs:fillRef idx="0"/>
    <cs:effectRef idx="0"/>
    <cs:fontRef idx="minor">
      <a:schemeClr val="tx1"/>
    </cs:fontRef>
    <cs:spPr>
      <a:ln algn="ctr" cap="flat" cmpd="sng" w="9525">
        <a:solidFill>
          <a:schemeClr val="tx1">
            <a:lumMod val="50000"/>
            <a:lumOff val="50000"/>
          </a:schemeClr>
        </a:solidFill>
        <a:round/>
      </a:ln>
    </cs:spPr>
  </cs:hiLoLine>
  <cs:leaderLine>
    <cs:lnRef idx="0"/>
    <cs:fillRef idx="0"/>
    <cs:effectRef idx="0"/>
    <cs:fontRef idx="minor">
      <a:schemeClr val="tx1"/>
    </cs:fontRef>
    <cs:spPr>
      <a:ln algn="ctr" cap="flat" cmpd="sng" w="9525">
        <a:solidFill>
          <a:schemeClr val="tx1">
            <a:lumMod val="35000"/>
            <a:lumOff val="65000"/>
          </a:schemeClr>
        </a:solidFill>
        <a:round/>
      </a:ln>
    </cs:spPr>
  </cs:leaderLine>
  <cs:legend>
    <cs:lnRef idx="0"/>
    <cs:fillRef idx="0"/>
    <cs:effectRef idx="0"/>
    <cs:fontRef idx="minor">
      <a:schemeClr val="tx1">
        <a:lumMod val="65000"/>
        <a:lumOff val="35000"/>
      </a:schemeClr>
    </cs:fontRef>
    <cs:defRPr kern="1200"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kern="1200" sz="900"/>
  </cs:seriesAxis>
  <cs:seriesLine>
    <cs:lnRef idx="0"/>
    <cs:fillRef idx="0"/>
    <cs:effectRef idx="0"/>
    <cs:fontRef idx="minor">
      <a:schemeClr val="tx1"/>
    </cs:fontRef>
    <cs:spPr>
      <a:ln algn="ctr" cap="flat" cmpd="sng" w="9525">
        <a:solidFill>
          <a:schemeClr val="tx1">
            <a:lumMod val="35000"/>
            <a:lumOff val="65000"/>
          </a:schemeClr>
        </a:solidFill>
        <a:round/>
      </a:ln>
    </cs:spPr>
  </cs:seriesLine>
  <cs:title>
    <cs:lnRef idx="0"/>
    <cs:fillRef idx="0"/>
    <cs:effectRef idx="0"/>
    <cs:fontRef idx="minor">
      <a:schemeClr val="tx1">
        <a:lumMod val="65000"/>
        <a:lumOff val="35000"/>
      </a:schemeClr>
    </cs:fontRef>
    <cs:defRPr b="0" baseline="0" kern="1200" spc="0" sz="1400"/>
  </cs:title>
  <cs:trendline>
    <cs:lnRef idx="0">
      <cs:styleClr val="auto"/>
    </cs:lnRef>
    <cs:fillRef idx="0"/>
    <cs:effectRef idx="0"/>
    <cs:fontRef idx="minor">
      <a:schemeClr val="tx1"/>
    </cs:fontRef>
    <cs:spPr>
      <a:ln cap="rnd" w="19050">
        <a:solidFill>
          <a:schemeClr val="phClr"/>
        </a:solidFill>
        <a:prstDash val="sysDot"/>
      </a:ln>
    </cs:spPr>
  </cs:trendline>
  <cs:trendlineLabel>
    <cs:lnRef idx="0"/>
    <cs:fillRef idx="0"/>
    <cs:effectRef idx="0"/>
    <cs:fontRef idx="minor">
      <a:schemeClr val="tx1">
        <a:lumMod val="65000"/>
        <a:lumOff val="35000"/>
      </a:schemeClr>
    </cs:fontRef>
    <cs:defRPr kern="1200" sz="900"/>
  </cs:trendlineLabel>
  <cs:upBar>
    <cs:lnRef idx="0"/>
    <cs:fillRef idx="0"/>
    <cs:effectRef idx="0"/>
    <cs:fontRef idx="minor">
      <a:schemeClr val="tx1"/>
    </cs:fontRef>
    <cs:spPr>
      <a:solidFill>
        <a:schemeClr val="lt1"/>
      </a:solidFill>
      <a:ln algn="ctr" cap="flat" cmpd="sng" w="9525">
        <a:solidFill>
          <a:schemeClr val="tx1">
            <a:lumMod val="65000"/>
            <a:lumOff val="35000"/>
          </a:schemeClr>
        </a:solidFill>
        <a:round/>
      </a:ln>
    </cs:spPr>
  </cs:upBar>
  <cs:valueAxis>
    <cs:lnRef idx="0"/>
    <cs:fillRef idx="0"/>
    <cs:effectRef idx="0"/>
    <cs:fontRef idx="minor">
      <a:schemeClr val="tx1">
        <a:lumMod val="65000"/>
        <a:lumOff val="35000"/>
      </a:schemeClr>
    </cs:fontRef>
    <cs:defRPr kern="1200" sz="9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kern="1200" sz="1000"/>
  </cs:axisTitle>
  <cs:categoryAxis>
    <cs:lnRef idx="0"/>
    <cs:fillRef idx="0"/>
    <cs:effectRef idx="0"/>
    <cs:fontRef idx="minor">
      <a:schemeClr val="tx1">
        <a:lumMod val="65000"/>
        <a:lumOff val="35000"/>
      </a:schemeClr>
    </cs:fontRef>
    <cs:spPr>
      <a:ln algn="ctr" cap="flat" cmpd="sng" w="9525">
        <a:solidFill>
          <a:schemeClr val="tx1">
            <a:lumMod val="15000"/>
            <a:lumOff val="85000"/>
          </a:schemeClr>
        </a:solidFill>
        <a:round/>
      </a:ln>
    </cs:spPr>
    <cs:defRPr kern="1200" sz="900"/>
  </cs:categoryAxis>
  <cs:chartArea mods="allowNoFillOverride allowNoLineOverride">
    <cs:lnRef idx="0"/>
    <cs:fillRef idx="0"/>
    <cs:effectRef idx="0"/>
    <cs:fontRef idx="minor">
      <a:schemeClr val="tx1"/>
    </cs:fontRef>
    <cs:spPr>
      <a:solidFill>
        <a:schemeClr val="bg1"/>
      </a:solidFill>
      <a:ln algn="ctr" cap="flat" cmpd="sng" w="9525">
        <a:solidFill>
          <a:schemeClr val="tx1">
            <a:lumMod val="15000"/>
            <a:lumOff val="85000"/>
          </a:schemeClr>
        </a:solidFill>
        <a:round/>
      </a:ln>
    </cs:spPr>
    <cs:defRPr kern="1200" sz="1000"/>
  </cs:chartArea>
  <cs:dataLabel>
    <cs:lnRef idx="0"/>
    <cs:fillRef idx="0"/>
    <cs:effectRef idx="0"/>
    <cs:fontRef idx="minor">
      <a:schemeClr val="tx1">
        <a:lumMod val="75000"/>
        <a:lumOff val="25000"/>
      </a:schemeClr>
    </cs:fontRef>
    <cs:defRPr kern="1200"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kern="1200" sz="900"/>
    <cs:bodyPr anchor="ctr" anchorCtr="1" bIns="18288" horzOverflow="clip" lIns="36576" rIns="36576" rot="0" spcFirstLastPara="1" tIns="18288" vert="horz" vertOverflow="clip" wrap="squar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cap="rnd" w="28575">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ize="5" symbol="circle"/>
  <cs:dataPointWireframe>
    <cs:lnRef idx="0">
      <cs:styleClr val="auto"/>
    </cs:lnRef>
    <cs:fillRef idx="1"/>
    <cs:effectRef idx="0"/>
    <cs:fontRef idx="minor">
      <a:schemeClr val="tx1"/>
    </cs:fontRef>
    <cs:spPr>
      <a:ln cap="rnd" w="9525">
        <a:solidFill>
          <a:schemeClr val="phClr"/>
        </a:solidFill>
        <a:round/>
      </a:ln>
    </cs:spPr>
  </cs:dataPointWireframe>
  <cs:dataTable>
    <cs:lnRef idx="0"/>
    <cs:fillRef idx="0"/>
    <cs:effectRef idx="0"/>
    <cs:fontRef idx="minor">
      <a:schemeClr val="tx1">
        <a:lumMod val="65000"/>
        <a:lumOff val="35000"/>
      </a:schemeClr>
    </cs:fontRef>
    <cs:spPr>
      <a:noFill/>
      <a:ln algn="ctr" cap="flat" cmpd="sng" w="9525">
        <a:solidFill>
          <a:schemeClr val="tx1">
            <a:lumMod val="15000"/>
            <a:lumOff val="85000"/>
          </a:schemeClr>
        </a:solidFill>
        <a:round/>
      </a:ln>
    </cs:spPr>
    <cs:defRPr kern="1200" sz="900"/>
  </cs:dataTable>
  <cs:downBar>
    <cs:lnRef idx="0"/>
    <cs:fillRef idx="0"/>
    <cs:effectRef idx="0"/>
    <cs:fontRef idx="minor">
      <a:schemeClr val="tx1"/>
    </cs:fontRef>
    <cs:spPr>
      <a:solidFill>
        <a:schemeClr val="dk1">
          <a:lumMod val="75000"/>
          <a:lumOff val="25000"/>
        </a:schemeClr>
      </a:solidFill>
      <a:ln algn="ctr" cap="flat" cmpd="sng" w="9525">
        <a:solidFill>
          <a:schemeClr val="tx1">
            <a:lumMod val="65000"/>
            <a:lumOff val="35000"/>
          </a:schemeClr>
        </a:solidFill>
        <a:round/>
      </a:ln>
    </cs:spPr>
  </cs:downBar>
  <cs:dropLine>
    <cs:lnRef idx="0"/>
    <cs:fillRef idx="0"/>
    <cs:effectRef idx="0"/>
    <cs:fontRef idx="minor">
      <a:schemeClr val="tx1"/>
    </cs:fontRef>
    <cs:spPr>
      <a:ln algn="ctr" cap="flat" cmpd="sng" w="9525">
        <a:solidFill>
          <a:schemeClr val="tx1">
            <a:lumMod val="35000"/>
            <a:lumOff val="65000"/>
          </a:schemeClr>
        </a:solidFill>
        <a:round/>
      </a:ln>
    </cs:spPr>
  </cs:dropLine>
  <cs:errorBar>
    <cs:lnRef idx="0"/>
    <cs:fillRef idx="0"/>
    <cs:effectRef idx="0"/>
    <cs:fontRef idx="minor">
      <a:schemeClr val="tx1"/>
    </cs:fontRef>
    <cs:spPr>
      <a:ln algn="ctr" cap="flat" cmpd="sng"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algn="ctr" cap="flat" cmpd="sng" w="9525">
        <a:solidFill>
          <a:schemeClr val="tx1">
            <a:lumMod val="15000"/>
            <a:lumOff val="85000"/>
          </a:schemeClr>
        </a:solidFill>
        <a:round/>
      </a:ln>
    </cs:spPr>
  </cs:gridlineMajor>
  <cs:gridlineMinor>
    <cs:lnRef idx="0"/>
    <cs:fillRef idx="0"/>
    <cs:effectRef idx="0"/>
    <cs:fontRef idx="minor">
      <a:schemeClr val="tx1"/>
    </cs:fontRef>
    <cs:spPr>
      <a:ln algn="ctr" cap="flat" cmpd="sng" w="9525">
        <a:solidFill>
          <a:schemeClr val="tx1">
            <a:lumMod val="5000"/>
            <a:lumOff val="95000"/>
          </a:schemeClr>
        </a:solidFill>
        <a:round/>
      </a:ln>
    </cs:spPr>
  </cs:gridlineMinor>
  <cs:hiLoLine>
    <cs:lnRef idx="0"/>
    <cs:fillRef idx="0"/>
    <cs:effectRef idx="0"/>
    <cs:fontRef idx="minor">
      <a:schemeClr val="tx1"/>
    </cs:fontRef>
    <cs:spPr>
      <a:ln algn="ctr" cap="flat" cmpd="sng" w="9525">
        <a:solidFill>
          <a:schemeClr val="tx1">
            <a:lumMod val="50000"/>
            <a:lumOff val="50000"/>
          </a:schemeClr>
        </a:solidFill>
        <a:round/>
      </a:ln>
    </cs:spPr>
  </cs:hiLoLine>
  <cs:leaderLine>
    <cs:lnRef idx="0"/>
    <cs:fillRef idx="0"/>
    <cs:effectRef idx="0"/>
    <cs:fontRef idx="minor">
      <a:schemeClr val="tx1"/>
    </cs:fontRef>
    <cs:spPr>
      <a:ln algn="ctr" cap="flat" cmpd="sng" w="9525">
        <a:solidFill>
          <a:schemeClr val="tx1">
            <a:lumMod val="35000"/>
            <a:lumOff val="65000"/>
          </a:schemeClr>
        </a:solidFill>
        <a:round/>
      </a:ln>
    </cs:spPr>
  </cs:leaderLine>
  <cs:legend>
    <cs:lnRef idx="0"/>
    <cs:fillRef idx="0"/>
    <cs:effectRef idx="0"/>
    <cs:fontRef idx="minor">
      <a:schemeClr val="tx1">
        <a:lumMod val="65000"/>
        <a:lumOff val="35000"/>
      </a:schemeClr>
    </cs:fontRef>
    <cs:defRPr kern="1200"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kern="1200" sz="900"/>
  </cs:seriesAxis>
  <cs:seriesLine>
    <cs:lnRef idx="0"/>
    <cs:fillRef idx="0"/>
    <cs:effectRef idx="0"/>
    <cs:fontRef idx="minor">
      <a:schemeClr val="tx1"/>
    </cs:fontRef>
    <cs:spPr>
      <a:ln algn="ctr" cap="flat" cmpd="sng" w="9525">
        <a:solidFill>
          <a:schemeClr val="tx1">
            <a:lumMod val="35000"/>
            <a:lumOff val="65000"/>
          </a:schemeClr>
        </a:solidFill>
        <a:round/>
      </a:ln>
    </cs:spPr>
  </cs:seriesLine>
  <cs:title>
    <cs:lnRef idx="0"/>
    <cs:fillRef idx="0"/>
    <cs:effectRef idx="0"/>
    <cs:fontRef idx="minor">
      <a:schemeClr val="tx1">
        <a:lumMod val="65000"/>
        <a:lumOff val="35000"/>
      </a:schemeClr>
    </cs:fontRef>
    <cs:defRPr b="0" baseline="0" kern="1200" spc="0" sz="1400"/>
  </cs:title>
  <cs:trendline>
    <cs:lnRef idx="0">
      <cs:styleClr val="auto"/>
    </cs:lnRef>
    <cs:fillRef idx="0"/>
    <cs:effectRef idx="0"/>
    <cs:fontRef idx="minor">
      <a:schemeClr val="tx1"/>
    </cs:fontRef>
    <cs:spPr>
      <a:ln cap="rnd" w="19050">
        <a:solidFill>
          <a:schemeClr val="phClr"/>
        </a:solidFill>
        <a:prstDash val="sysDot"/>
      </a:ln>
    </cs:spPr>
  </cs:trendline>
  <cs:trendlineLabel>
    <cs:lnRef idx="0"/>
    <cs:fillRef idx="0"/>
    <cs:effectRef idx="0"/>
    <cs:fontRef idx="minor">
      <a:schemeClr val="tx1">
        <a:lumMod val="65000"/>
        <a:lumOff val="35000"/>
      </a:schemeClr>
    </cs:fontRef>
    <cs:defRPr kern="1200" sz="900"/>
  </cs:trendlineLabel>
  <cs:upBar>
    <cs:lnRef idx="0"/>
    <cs:fillRef idx="0"/>
    <cs:effectRef idx="0"/>
    <cs:fontRef idx="minor">
      <a:schemeClr val="tx1"/>
    </cs:fontRef>
    <cs:spPr>
      <a:solidFill>
        <a:schemeClr val="lt1"/>
      </a:solidFill>
      <a:ln algn="ctr" cap="flat" cmpd="sng" w="9525">
        <a:solidFill>
          <a:schemeClr val="tx1">
            <a:lumMod val="65000"/>
            <a:lumOff val="35000"/>
          </a:schemeClr>
        </a:solidFill>
        <a:round/>
      </a:ln>
    </cs:spPr>
  </cs:upBar>
  <cs:valueAxis>
    <cs:lnRef idx="0"/>
    <cs:fillRef idx="0"/>
    <cs:effectRef idx="0"/>
    <cs:fontRef idx="minor">
      <a:schemeClr val="tx1">
        <a:lumMod val="65000"/>
        <a:lumOff val="35000"/>
      </a:schemeClr>
    </cs:fontRef>
    <cs:defRPr kern="1200" sz="9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kern="1200" sz="1000"/>
  </cs:axisTitle>
  <cs:categoryAxis>
    <cs:lnRef idx="0"/>
    <cs:fillRef idx="0"/>
    <cs:effectRef idx="0"/>
    <cs:fontRef idx="minor">
      <a:schemeClr val="tx1">
        <a:lumMod val="65000"/>
        <a:lumOff val="35000"/>
      </a:schemeClr>
    </cs:fontRef>
    <cs:spPr>
      <a:ln algn="ctr" cap="flat" cmpd="sng" w="9525">
        <a:solidFill>
          <a:schemeClr val="tx1">
            <a:lumMod val="15000"/>
            <a:lumOff val="85000"/>
          </a:schemeClr>
        </a:solidFill>
        <a:round/>
      </a:ln>
    </cs:spPr>
    <cs:defRPr kern="1200" sz="900"/>
  </cs:categoryAxis>
  <cs:chartArea mods="allowNoFillOverride allowNoLineOverride">
    <cs:lnRef idx="0"/>
    <cs:fillRef idx="0"/>
    <cs:effectRef idx="0"/>
    <cs:fontRef idx="minor">
      <a:schemeClr val="tx1"/>
    </cs:fontRef>
    <cs:spPr>
      <a:solidFill>
        <a:schemeClr val="bg1"/>
      </a:solidFill>
      <a:ln algn="ctr" cap="flat" cmpd="sng" w="9525">
        <a:solidFill>
          <a:schemeClr val="tx1">
            <a:lumMod val="15000"/>
            <a:lumOff val="85000"/>
          </a:schemeClr>
        </a:solidFill>
        <a:round/>
      </a:ln>
    </cs:spPr>
    <cs:defRPr kern="1200" sz="1000"/>
  </cs:chartArea>
  <cs:dataLabel>
    <cs:lnRef idx="0"/>
    <cs:fillRef idx="0"/>
    <cs:effectRef idx="0"/>
    <cs:fontRef idx="minor">
      <a:schemeClr val="tx1">
        <a:lumMod val="75000"/>
        <a:lumOff val="25000"/>
      </a:schemeClr>
    </cs:fontRef>
    <cs:defRPr kern="1200"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kern="1200" sz="900"/>
    <cs:bodyPr anchor="ctr" anchorCtr="1" bIns="18288" horzOverflow="clip" lIns="36576" rIns="36576" rot="0" spcFirstLastPara="1" tIns="18288" vert="horz" vertOverflow="clip" wrap="square">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cap="rnd" w="28575">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ize="5" symbol="circle"/>
  <cs:dataPointWireframe>
    <cs:lnRef idx="0">
      <cs:styleClr val="auto"/>
    </cs:lnRef>
    <cs:fillRef idx="1"/>
    <cs:effectRef idx="0"/>
    <cs:fontRef idx="minor">
      <a:schemeClr val="tx1"/>
    </cs:fontRef>
    <cs:spPr>
      <a:ln cap="rnd" w="9525">
        <a:solidFill>
          <a:schemeClr val="phClr"/>
        </a:solidFill>
        <a:round/>
      </a:ln>
    </cs:spPr>
  </cs:dataPointWireframe>
  <cs:dataTable>
    <cs:lnRef idx="0"/>
    <cs:fillRef idx="0"/>
    <cs:effectRef idx="0"/>
    <cs:fontRef idx="minor">
      <a:schemeClr val="tx1">
        <a:lumMod val="65000"/>
        <a:lumOff val="35000"/>
      </a:schemeClr>
    </cs:fontRef>
    <cs:spPr>
      <a:noFill/>
      <a:ln algn="ctr" cap="flat" cmpd="sng" w="9525">
        <a:solidFill>
          <a:schemeClr val="tx1">
            <a:lumMod val="15000"/>
            <a:lumOff val="85000"/>
          </a:schemeClr>
        </a:solidFill>
        <a:round/>
      </a:ln>
    </cs:spPr>
    <cs:defRPr kern="1200"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algn="ctr" cap="flat" cmpd="sng" w="9525">
        <a:solidFill>
          <a:schemeClr val="tx1">
            <a:lumMod val="35000"/>
            <a:lumOff val="65000"/>
          </a:schemeClr>
        </a:solidFill>
        <a:round/>
      </a:ln>
    </cs:spPr>
  </cs:dropLine>
  <cs:errorBar>
    <cs:lnRef idx="0"/>
    <cs:fillRef idx="0"/>
    <cs:effectRef idx="0"/>
    <cs:fontRef idx="minor">
      <a:schemeClr val="tx1"/>
    </cs:fontRef>
    <cs:spPr>
      <a:ln algn="ctr" cap="flat" cmpd="sng"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algn="ctr" cap="flat" cmpd="sng" w="9525">
        <a:solidFill>
          <a:schemeClr val="tx1">
            <a:lumMod val="15000"/>
            <a:lumOff val="85000"/>
          </a:schemeClr>
        </a:solidFill>
        <a:round/>
      </a:ln>
    </cs:spPr>
  </cs:gridlineMajor>
  <cs:gridlineMinor>
    <cs:lnRef idx="0"/>
    <cs:fillRef idx="0"/>
    <cs:effectRef idx="0"/>
    <cs:fontRef idx="minor">
      <a:schemeClr val="tx1"/>
    </cs:fontRef>
    <cs:spPr>
      <a:ln algn="ctr" cap="flat" cmpd="sng" w="9525">
        <a:solidFill>
          <a:schemeClr val="tx1">
            <a:lumMod val="5000"/>
            <a:lumOff val="95000"/>
          </a:schemeClr>
        </a:solidFill>
        <a:round/>
      </a:ln>
    </cs:spPr>
  </cs:gridlineMinor>
  <cs:hiLoLine>
    <cs:lnRef idx="0"/>
    <cs:fillRef idx="0"/>
    <cs:effectRef idx="0"/>
    <cs:fontRef idx="minor">
      <a:schemeClr val="tx1"/>
    </cs:fontRef>
    <cs:spPr>
      <a:ln algn="ctr" cap="flat" cmpd="sng" w="9525">
        <a:solidFill>
          <a:schemeClr val="tx1">
            <a:lumMod val="75000"/>
            <a:lumOff val="25000"/>
          </a:schemeClr>
        </a:solidFill>
        <a:round/>
      </a:ln>
    </cs:spPr>
  </cs:hiLoLine>
  <cs:leaderLine>
    <cs:lnRef idx="0"/>
    <cs:fillRef idx="0"/>
    <cs:effectRef idx="0"/>
    <cs:fontRef idx="minor">
      <a:schemeClr val="tx1"/>
    </cs:fontRef>
    <cs:spPr>
      <a:ln algn="ctr" cap="flat" cmpd="sng" w="9525">
        <a:solidFill>
          <a:schemeClr val="tx1">
            <a:lumMod val="35000"/>
            <a:lumOff val="65000"/>
          </a:schemeClr>
        </a:solidFill>
        <a:round/>
      </a:ln>
    </cs:spPr>
  </cs:leaderLine>
  <cs:legend>
    <cs:lnRef idx="0"/>
    <cs:fillRef idx="0"/>
    <cs:effectRef idx="0"/>
    <cs:fontRef idx="minor">
      <a:schemeClr val="tx1">
        <a:lumMod val="65000"/>
        <a:lumOff val="35000"/>
      </a:schemeClr>
    </cs:fontRef>
    <cs:defRPr kern="1200"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kern="1200" sz="900"/>
  </cs:seriesAxis>
  <cs:seriesLine>
    <cs:lnRef idx="0"/>
    <cs:fillRef idx="0"/>
    <cs:effectRef idx="0"/>
    <cs:fontRef idx="minor">
      <a:schemeClr val="tx1"/>
    </cs:fontRef>
    <cs:spPr>
      <a:ln algn="ctr" cap="flat" cmpd="sng" w="9525">
        <a:solidFill>
          <a:schemeClr val="tx1">
            <a:lumMod val="35000"/>
            <a:lumOff val="65000"/>
          </a:schemeClr>
        </a:solidFill>
        <a:round/>
      </a:ln>
    </cs:spPr>
  </cs:seriesLine>
  <cs:title>
    <cs:lnRef idx="0"/>
    <cs:fillRef idx="0"/>
    <cs:effectRef idx="0"/>
    <cs:fontRef idx="minor">
      <a:schemeClr val="tx1">
        <a:lumMod val="65000"/>
        <a:lumOff val="35000"/>
      </a:schemeClr>
    </cs:fontRef>
    <cs:defRPr b="0" baseline="0" kern="1200" spc="0" sz="1400"/>
  </cs:title>
  <cs:trendline>
    <cs:lnRef idx="0">
      <cs:styleClr val="auto"/>
    </cs:lnRef>
    <cs:fillRef idx="0"/>
    <cs:effectRef idx="0"/>
    <cs:fontRef idx="minor">
      <a:schemeClr val="tx1"/>
    </cs:fontRef>
    <cs:spPr>
      <a:ln cap="rnd" w="19050">
        <a:solidFill>
          <a:schemeClr val="phClr"/>
        </a:solidFill>
        <a:prstDash val="sysDot"/>
      </a:ln>
    </cs:spPr>
  </cs:trendline>
  <cs:trendlineLabel>
    <cs:lnRef idx="0"/>
    <cs:fillRef idx="0"/>
    <cs:effectRef idx="0"/>
    <cs:fontRef idx="minor">
      <a:schemeClr val="tx1">
        <a:lumMod val="65000"/>
        <a:lumOff val="35000"/>
      </a:schemeClr>
    </cs:fontRef>
    <cs:defRPr kern="1200"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kern="1200" sz="9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kern="1200" sz="1000"/>
  </cs:axisTitle>
  <cs:categoryAxis>
    <cs:lnRef idx="0"/>
    <cs:fillRef idx="0"/>
    <cs:effectRef idx="0"/>
    <cs:fontRef idx="minor">
      <a:schemeClr val="tx1">
        <a:lumMod val="65000"/>
        <a:lumOff val="35000"/>
      </a:schemeClr>
    </cs:fontRef>
    <cs:spPr>
      <a:ln algn="ctr" cap="flat" cmpd="sng" w="9525">
        <a:solidFill>
          <a:schemeClr val="tx1">
            <a:lumMod val="15000"/>
            <a:lumOff val="85000"/>
          </a:schemeClr>
        </a:solidFill>
        <a:round/>
      </a:ln>
    </cs:spPr>
    <cs:defRPr kern="1200" sz="900"/>
  </cs:categoryAxis>
  <cs:chartArea mods="allowNoFillOverride allowNoLineOverride">
    <cs:lnRef idx="0"/>
    <cs:fillRef idx="0"/>
    <cs:effectRef idx="0"/>
    <cs:fontRef idx="minor">
      <a:schemeClr val="tx1"/>
    </cs:fontRef>
    <cs:spPr>
      <a:solidFill>
        <a:schemeClr val="bg1"/>
      </a:solidFill>
      <a:ln algn="ctr" cap="flat" cmpd="sng" w="9525">
        <a:solidFill>
          <a:schemeClr val="tx1">
            <a:lumMod val="15000"/>
            <a:lumOff val="85000"/>
          </a:schemeClr>
        </a:solidFill>
        <a:round/>
      </a:ln>
    </cs:spPr>
    <cs:defRPr kern="1200" sz="1000"/>
  </cs:chartArea>
  <cs:dataLabel>
    <cs:lnRef idx="0"/>
    <cs:fillRef idx="0"/>
    <cs:effectRef idx="0"/>
    <cs:fontRef idx="minor">
      <a:schemeClr val="tx1">
        <a:lumMod val="75000"/>
        <a:lumOff val="25000"/>
      </a:schemeClr>
    </cs:fontRef>
    <cs:defRPr kern="1200"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kern="1200" sz="900"/>
    <cs:bodyPr anchor="ctr" anchorCtr="1" bIns="18288" horzOverflow="clip" lIns="36576" rIns="36576" rot="0" spcFirstLastPara="1" tIns="18288" vert="horz" vertOverflow="clip" wrap="squar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cap="rnd" w="28575">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ize="5" symbol="circle"/>
  <cs:dataPointWireframe>
    <cs:lnRef idx="0">
      <cs:styleClr val="auto"/>
    </cs:lnRef>
    <cs:fillRef idx="1"/>
    <cs:effectRef idx="0"/>
    <cs:fontRef idx="minor">
      <a:schemeClr val="tx1"/>
    </cs:fontRef>
    <cs:spPr>
      <a:ln cap="rnd" w="9525">
        <a:solidFill>
          <a:schemeClr val="phClr"/>
        </a:solidFill>
        <a:round/>
      </a:ln>
    </cs:spPr>
  </cs:dataPointWireframe>
  <cs:dataTable>
    <cs:lnRef idx="0"/>
    <cs:fillRef idx="0"/>
    <cs:effectRef idx="0"/>
    <cs:fontRef idx="minor">
      <a:schemeClr val="tx1">
        <a:lumMod val="65000"/>
        <a:lumOff val="35000"/>
      </a:schemeClr>
    </cs:fontRef>
    <cs:spPr>
      <a:noFill/>
      <a:ln algn="ctr" cap="flat" cmpd="sng" w="9525">
        <a:solidFill>
          <a:schemeClr val="tx1">
            <a:lumMod val="15000"/>
            <a:lumOff val="85000"/>
          </a:schemeClr>
        </a:solidFill>
        <a:round/>
      </a:ln>
    </cs:spPr>
    <cs:defRPr kern="1200" sz="900"/>
  </cs:dataTable>
  <cs:downBar>
    <cs:lnRef idx="0"/>
    <cs:fillRef idx="0"/>
    <cs:effectRef idx="0"/>
    <cs:fontRef idx="minor">
      <a:schemeClr val="tx1"/>
    </cs:fontRef>
    <cs:spPr>
      <a:solidFill>
        <a:schemeClr val="dk1">
          <a:lumMod val="75000"/>
          <a:lumOff val="25000"/>
        </a:schemeClr>
      </a:solidFill>
      <a:ln algn="ctr" cap="flat" cmpd="sng" w="9525">
        <a:solidFill>
          <a:schemeClr val="tx1">
            <a:lumMod val="65000"/>
            <a:lumOff val="35000"/>
          </a:schemeClr>
        </a:solidFill>
        <a:round/>
      </a:ln>
    </cs:spPr>
  </cs:downBar>
  <cs:dropLine>
    <cs:lnRef idx="0"/>
    <cs:fillRef idx="0"/>
    <cs:effectRef idx="0"/>
    <cs:fontRef idx="minor">
      <a:schemeClr val="tx1"/>
    </cs:fontRef>
    <cs:spPr>
      <a:ln algn="ctr" cap="flat" cmpd="sng" w="9525">
        <a:solidFill>
          <a:schemeClr val="tx1">
            <a:lumMod val="35000"/>
            <a:lumOff val="65000"/>
          </a:schemeClr>
        </a:solidFill>
        <a:round/>
      </a:ln>
    </cs:spPr>
  </cs:dropLine>
  <cs:errorBar>
    <cs:lnRef idx="0"/>
    <cs:fillRef idx="0"/>
    <cs:effectRef idx="0"/>
    <cs:fontRef idx="minor">
      <a:schemeClr val="tx1"/>
    </cs:fontRef>
    <cs:spPr>
      <a:ln algn="ctr" cap="flat" cmpd="sng"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algn="ctr" cap="flat" cmpd="sng" w="9525">
        <a:solidFill>
          <a:schemeClr val="tx1">
            <a:lumMod val="15000"/>
            <a:lumOff val="85000"/>
          </a:schemeClr>
        </a:solidFill>
        <a:round/>
      </a:ln>
    </cs:spPr>
  </cs:gridlineMajor>
  <cs:gridlineMinor>
    <cs:lnRef idx="0"/>
    <cs:fillRef idx="0"/>
    <cs:effectRef idx="0"/>
    <cs:fontRef idx="minor">
      <a:schemeClr val="tx1"/>
    </cs:fontRef>
    <cs:spPr>
      <a:ln algn="ctr" cap="flat" cmpd="sng" w="9525">
        <a:solidFill>
          <a:schemeClr val="tx1">
            <a:lumMod val="5000"/>
            <a:lumOff val="95000"/>
          </a:schemeClr>
        </a:solidFill>
        <a:round/>
      </a:ln>
    </cs:spPr>
  </cs:gridlineMinor>
  <cs:hiLoLine>
    <cs:lnRef idx="0"/>
    <cs:fillRef idx="0"/>
    <cs:effectRef idx="0"/>
    <cs:fontRef idx="minor">
      <a:schemeClr val="tx1"/>
    </cs:fontRef>
    <cs:spPr>
      <a:ln algn="ctr" cap="flat" cmpd="sng" w="9525">
        <a:solidFill>
          <a:schemeClr val="tx1">
            <a:lumMod val="50000"/>
            <a:lumOff val="50000"/>
          </a:schemeClr>
        </a:solidFill>
        <a:round/>
      </a:ln>
    </cs:spPr>
  </cs:hiLoLine>
  <cs:leaderLine>
    <cs:lnRef idx="0"/>
    <cs:fillRef idx="0"/>
    <cs:effectRef idx="0"/>
    <cs:fontRef idx="minor">
      <a:schemeClr val="tx1"/>
    </cs:fontRef>
    <cs:spPr>
      <a:ln algn="ctr" cap="flat" cmpd="sng" w="9525">
        <a:solidFill>
          <a:schemeClr val="tx1">
            <a:lumMod val="35000"/>
            <a:lumOff val="65000"/>
          </a:schemeClr>
        </a:solidFill>
        <a:round/>
      </a:ln>
    </cs:spPr>
  </cs:leaderLine>
  <cs:legend>
    <cs:lnRef idx="0"/>
    <cs:fillRef idx="0"/>
    <cs:effectRef idx="0"/>
    <cs:fontRef idx="minor">
      <a:schemeClr val="tx1">
        <a:lumMod val="65000"/>
        <a:lumOff val="35000"/>
      </a:schemeClr>
    </cs:fontRef>
    <cs:defRPr kern="1200"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kern="1200" sz="900"/>
  </cs:seriesAxis>
  <cs:seriesLine>
    <cs:lnRef idx="0"/>
    <cs:fillRef idx="0"/>
    <cs:effectRef idx="0"/>
    <cs:fontRef idx="minor">
      <a:schemeClr val="tx1"/>
    </cs:fontRef>
    <cs:spPr>
      <a:ln algn="ctr" cap="flat" cmpd="sng" w="9525">
        <a:solidFill>
          <a:schemeClr val="tx1">
            <a:lumMod val="35000"/>
            <a:lumOff val="65000"/>
          </a:schemeClr>
        </a:solidFill>
        <a:round/>
      </a:ln>
    </cs:spPr>
  </cs:seriesLine>
  <cs:title>
    <cs:lnRef idx="0"/>
    <cs:fillRef idx="0"/>
    <cs:effectRef idx="0"/>
    <cs:fontRef idx="minor">
      <a:schemeClr val="tx1">
        <a:lumMod val="65000"/>
        <a:lumOff val="35000"/>
      </a:schemeClr>
    </cs:fontRef>
    <cs:defRPr b="0" baseline="0" kern="1200" spc="0" sz="1400"/>
  </cs:title>
  <cs:trendline>
    <cs:lnRef idx="0">
      <cs:styleClr val="auto"/>
    </cs:lnRef>
    <cs:fillRef idx="0"/>
    <cs:effectRef idx="0"/>
    <cs:fontRef idx="minor">
      <a:schemeClr val="tx1"/>
    </cs:fontRef>
    <cs:spPr>
      <a:ln cap="rnd" w="19050">
        <a:solidFill>
          <a:schemeClr val="phClr"/>
        </a:solidFill>
        <a:prstDash val="sysDot"/>
      </a:ln>
    </cs:spPr>
  </cs:trendline>
  <cs:trendlineLabel>
    <cs:lnRef idx="0"/>
    <cs:fillRef idx="0"/>
    <cs:effectRef idx="0"/>
    <cs:fontRef idx="minor">
      <a:schemeClr val="tx1">
        <a:lumMod val="65000"/>
        <a:lumOff val="35000"/>
      </a:schemeClr>
    </cs:fontRef>
    <cs:defRPr kern="1200" sz="900"/>
  </cs:trendlineLabel>
  <cs:upBar>
    <cs:lnRef idx="0"/>
    <cs:fillRef idx="0"/>
    <cs:effectRef idx="0"/>
    <cs:fontRef idx="minor">
      <a:schemeClr val="tx1"/>
    </cs:fontRef>
    <cs:spPr>
      <a:solidFill>
        <a:schemeClr val="lt1"/>
      </a:solidFill>
      <a:ln algn="ctr" cap="flat" cmpd="sng" w="9525">
        <a:solidFill>
          <a:schemeClr val="tx1">
            <a:lumMod val="65000"/>
            <a:lumOff val="35000"/>
          </a:schemeClr>
        </a:solidFill>
        <a:round/>
      </a:ln>
    </cs:spPr>
  </cs:upBar>
  <cs:valueAxis>
    <cs:lnRef idx="0"/>
    <cs:fillRef idx="0"/>
    <cs:effectRef idx="0"/>
    <cs:fontRef idx="minor">
      <a:schemeClr val="tx1">
        <a:lumMod val="65000"/>
        <a:lumOff val="35000"/>
      </a:schemeClr>
    </cs:fontRef>
    <cs:defRPr kern="1200" sz="9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kern="1200" sz="1000"/>
  </cs:axisTitle>
  <cs:categoryAxis>
    <cs:lnRef idx="0"/>
    <cs:fillRef idx="0"/>
    <cs:effectRef idx="0"/>
    <cs:fontRef idx="minor">
      <a:schemeClr val="tx1">
        <a:lumMod val="65000"/>
        <a:lumOff val="35000"/>
      </a:schemeClr>
    </cs:fontRef>
    <cs:spPr>
      <a:ln algn="ctr" cap="flat" cmpd="sng" w="9525">
        <a:solidFill>
          <a:schemeClr val="tx1">
            <a:lumMod val="15000"/>
            <a:lumOff val="85000"/>
          </a:schemeClr>
        </a:solidFill>
        <a:round/>
      </a:ln>
    </cs:spPr>
    <cs:defRPr kern="1200" sz="900"/>
  </cs:categoryAxis>
  <cs:chartArea mods="allowNoFillOverride allowNoLineOverride">
    <cs:lnRef idx="0"/>
    <cs:fillRef idx="0"/>
    <cs:effectRef idx="0"/>
    <cs:fontRef idx="minor">
      <a:schemeClr val="tx1"/>
    </cs:fontRef>
    <cs:spPr>
      <a:solidFill>
        <a:schemeClr val="bg1"/>
      </a:solidFill>
      <a:ln algn="ctr" cap="flat" cmpd="sng" w="9525">
        <a:solidFill>
          <a:schemeClr val="tx1">
            <a:lumMod val="15000"/>
            <a:lumOff val="85000"/>
          </a:schemeClr>
        </a:solidFill>
        <a:round/>
      </a:ln>
    </cs:spPr>
    <cs:defRPr kern="1200" sz="1000"/>
  </cs:chartArea>
  <cs:dataLabel>
    <cs:lnRef idx="0"/>
    <cs:fillRef idx="0"/>
    <cs:effectRef idx="0"/>
    <cs:fontRef idx="minor">
      <a:schemeClr val="tx1">
        <a:lumMod val="75000"/>
        <a:lumOff val="25000"/>
      </a:schemeClr>
    </cs:fontRef>
    <cs:defRPr kern="1200"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kern="1200" sz="900"/>
    <cs:bodyPr anchor="ctr" anchorCtr="1" bIns="18288" horzOverflow="clip" lIns="36576" rIns="36576" rot="0" spcFirstLastPara="1" tIns="18288" vert="horz" vertOverflow="clip" wrap="squar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cap="rnd" w="28575">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ize="5" symbol="circle"/>
  <cs:dataPointWireframe>
    <cs:lnRef idx="0">
      <cs:styleClr val="auto"/>
    </cs:lnRef>
    <cs:fillRef idx="1"/>
    <cs:effectRef idx="0"/>
    <cs:fontRef idx="minor">
      <a:schemeClr val="tx1"/>
    </cs:fontRef>
    <cs:spPr>
      <a:ln cap="rnd" w="9525">
        <a:solidFill>
          <a:schemeClr val="phClr"/>
        </a:solidFill>
        <a:round/>
      </a:ln>
    </cs:spPr>
  </cs:dataPointWireframe>
  <cs:dataTable>
    <cs:lnRef idx="0"/>
    <cs:fillRef idx="0"/>
    <cs:effectRef idx="0"/>
    <cs:fontRef idx="minor">
      <a:schemeClr val="tx1">
        <a:lumMod val="65000"/>
        <a:lumOff val="35000"/>
      </a:schemeClr>
    </cs:fontRef>
    <cs:spPr>
      <a:noFill/>
      <a:ln algn="ctr" cap="flat" cmpd="sng" w="9525">
        <a:solidFill>
          <a:schemeClr val="tx1">
            <a:lumMod val="15000"/>
            <a:lumOff val="85000"/>
          </a:schemeClr>
        </a:solidFill>
        <a:round/>
      </a:ln>
    </cs:spPr>
    <cs:defRPr kern="1200"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algn="ctr" cap="flat" cmpd="sng" w="9525">
        <a:solidFill>
          <a:schemeClr val="tx1">
            <a:lumMod val="35000"/>
            <a:lumOff val="65000"/>
          </a:schemeClr>
        </a:solidFill>
        <a:round/>
      </a:ln>
    </cs:spPr>
  </cs:dropLine>
  <cs:errorBar>
    <cs:lnRef idx="0"/>
    <cs:fillRef idx="0"/>
    <cs:effectRef idx="0"/>
    <cs:fontRef idx="minor">
      <a:schemeClr val="tx1"/>
    </cs:fontRef>
    <cs:spPr>
      <a:ln algn="ctr" cap="flat" cmpd="sng"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algn="ctr" cap="flat" cmpd="sng" w="9525">
        <a:solidFill>
          <a:schemeClr val="tx1">
            <a:lumMod val="15000"/>
            <a:lumOff val="85000"/>
          </a:schemeClr>
        </a:solidFill>
        <a:round/>
      </a:ln>
    </cs:spPr>
  </cs:gridlineMajor>
  <cs:gridlineMinor>
    <cs:lnRef idx="0"/>
    <cs:fillRef idx="0"/>
    <cs:effectRef idx="0"/>
    <cs:fontRef idx="minor">
      <a:schemeClr val="tx1"/>
    </cs:fontRef>
    <cs:spPr>
      <a:ln algn="ctr" cap="flat" cmpd="sng" w="9525">
        <a:solidFill>
          <a:schemeClr val="tx1">
            <a:lumMod val="5000"/>
            <a:lumOff val="95000"/>
          </a:schemeClr>
        </a:solidFill>
        <a:round/>
      </a:ln>
    </cs:spPr>
  </cs:gridlineMinor>
  <cs:hiLoLine>
    <cs:lnRef idx="0"/>
    <cs:fillRef idx="0"/>
    <cs:effectRef idx="0"/>
    <cs:fontRef idx="minor">
      <a:schemeClr val="tx1"/>
    </cs:fontRef>
    <cs:spPr>
      <a:ln algn="ctr" cap="flat" cmpd="sng" w="9525">
        <a:solidFill>
          <a:schemeClr val="tx1">
            <a:lumMod val="75000"/>
            <a:lumOff val="25000"/>
          </a:schemeClr>
        </a:solidFill>
        <a:round/>
      </a:ln>
    </cs:spPr>
  </cs:hiLoLine>
  <cs:leaderLine>
    <cs:lnRef idx="0"/>
    <cs:fillRef idx="0"/>
    <cs:effectRef idx="0"/>
    <cs:fontRef idx="minor">
      <a:schemeClr val="tx1"/>
    </cs:fontRef>
    <cs:spPr>
      <a:ln algn="ctr" cap="flat" cmpd="sng" w="9525">
        <a:solidFill>
          <a:schemeClr val="tx1">
            <a:lumMod val="35000"/>
            <a:lumOff val="65000"/>
          </a:schemeClr>
        </a:solidFill>
        <a:round/>
      </a:ln>
    </cs:spPr>
  </cs:leaderLine>
  <cs:legend>
    <cs:lnRef idx="0"/>
    <cs:fillRef idx="0"/>
    <cs:effectRef idx="0"/>
    <cs:fontRef idx="minor">
      <a:schemeClr val="tx1">
        <a:lumMod val="65000"/>
        <a:lumOff val="35000"/>
      </a:schemeClr>
    </cs:fontRef>
    <cs:defRPr kern="1200"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kern="1200" sz="900"/>
  </cs:seriesAxis>
  <cs:seriesLine>
    <cs:lnRef idx="0"/>
    <cs:fillRef idx="0"/>
    <cs:effectRef idx="0"/>
    <cs:fontRef idx="minor">
      <a:schemeClr val="tx1"/>
    </cs:fontRef>
    <cs:spPr>
      <a:ln algn="ctr" cap="flat" cmpd="sng" w="9525">
        <a:solidFill>
          <a:schemeClr val="tx1">
            <a:lumMod val="35000"/>
            <a:lumOff val="65000"/>
          </a:schemeClr>
        </a:solidFill>
        <a:round/>
      </a:ln>
    </cs:spPr>
  </cs:seriesLine>
  <cs:title>
    <cs:lnRef idx="0"/>
    <cs:fillRef idx="0"/>
    <cs:effectRef idx="0"/>
    <cs:fontRef idx="minor">
      <a:schemeClr val="tx1">
        <a:lumMod val="65000"/>
        <a:lumOff val="35000"/>
      </a:schemeClr>
    </cs:fontRef>
    <cs:defRPr b="0" baseline="0" kern="1200" spc="0" sz="1400"/>
  </cs:title>
  <cs:trendline>
    <cs:lnRef idx="0">
      <cs:styleClr val="auto"/>
    </cs:lnRef>
    <cs:fillRef idx="0"/>
    <cs:effectRef idx="0"/>
    <cs:fontRef idx="minor">
      <a:schemeClr val="tx1"/>
    </cs:fontRef>
    <cs:spPr>
      <a:ln cap="rnd" w="19050">
        <a:solidFill>
          <a:schemeClr val="phClr"/>
        </a:solidFill>
        <a:prstDash val="sysDot"/>
      </a:ln>
    </cs:spPr>
  </cs:trendline>
  <cs:trendlineLabel>
    <cs:lnRef idx="0"/>
    <cs:fillRef idx="0"/>
    <cs:effectRef idx="0"/>
    <cs:fontRef idx="minor">
      <a:schemeClr val="tx1">
        <a:lumMod val="65000"/>
        <a:lumOff val="35000"/>
      </a:schemeClr>
    </cs:fontRef>
    <cs:defRPr kern="1200"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kern="1200" sz="9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xmlns:r="http://schemas.openxmlformats.org/officeDocument/2006/relationships"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tint val="100000"/>
                <a:shade val="100000"/>
                <a:satMod val="130000"/>
              </a:schemeClr>
            </a:gs>
            <a:gs pos="100000">
              <a:schemeClr val="phClr">
                <a:tint val="50000"/>
                <a:shade val="100000"/>
                <a:satMod val="350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xmlns:r="http://schemas.openxmlformats.org/officeDocument/2006/relationships"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Override>
</file>

<file path=word/theme/themeOverride2.xml><?xml version="1.0" encoding="utf-8"?>
<a:themeOverride xmlns:a="http://schemas.openxmlformats.org/drawingml/2006/main" xmlns:r="http://schemas.openxmlformats.org/officeDocument/2006/relationships"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Override>
</file>

<file path=customXml/_rels/item1.xml.rels><?xml version="1.0" encoding="UTF-8"?>
<Relationships xmlns="http://schemas.openxmlformats.org/package/2006/relationships">
   <Relationship Target="itemProps1.xml" Type="http://schemas.openxmlformats.org/officeDocument/2006/relationships/customXmlProps" Id="rId1"/>
</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0F4EF232-D7BB-4484-A6A8-AFACA973F5ED}">
  <ds:schemaRefs>
    <ds:schemaRef ds:uri="http://schemas.openxmlformats.org/officeDocument/2006/bibliography"/>
  </ds:schemaRefs>
</ds:datastoreItem>
</file>

<file path=docProps/app.xml><?xml version="1.0" encoding="utf-8"?>
<properties:Properties xmlns:vt="http://schemas.openxmlformats.org/officeDocument/2006/docPropsVTypes" xmlns:properties="http://schemas.openxmlformats.org/officeDocument/2006/extended-properties">
  <properties:Template>Normal</properties:Template>
  <properties:Company>Outsource Design</properties:Company>
  <properties:Pages>18</properties:Pages>
  <properties:Words>1881</properties:Words>
  <properties:Characters>10722</properties:Characters>
  <properties:Lines>89</properties:Lines>
  <properties:Paragraphs>25</properties:Paragraphs>
  <properties:TotalTime>3</properties:TotalTime>
  <properties:ScaleCrop>false</properties:ScaleCrop>
  <properties:HeadingPairs>
    <vt:vector baseType="variant" size="2">
      <vt:variant>
        <vt:lpstr>Title</vt:lpstr>
      </vt:variant>
      <vt:variant>
        <vt:i4>1</vt:i4>
      </vt:variant>
    </vt:vector>
  </properties:HeadingPairs>
  <properties:TitlesOfParts>
    <vt:vector baseType="lpstr" size="1">
      <vt:lpstr>Unique victims and alleged offenders in Victoria</vt:lpstr>
    </vt:vector>
  </properties:TitlesOfParts>
  <properties:LinksUpToDate>false</properties:LinksUpToDate>
  <properties:CharactersWithSpaces>12578</properties:CharactersWithSpaces>
  <properties:SharedDoc>false</properties:SharedDoc>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2019-09-19T03:06:00Z</dcterms:created>
  <dc:creator/>
  <cp:lastModifiedBy/>
  <cp:lastPrinted>2019-09-19T04:24:00Z</cp:lastPrinted>
  <dcterms:modified xmlns:xsi="http://www.w3.org/2001/XMLSchema-instance" xsi:type="dcterms:W3CDTF">2019-09-19T04:24:00Z</dcterms:modified>
  <cp:revision>4</cp:revision>
  <dc:subject/>
  <dc:title>Unique victims and alleged offenders in Victoria</dc:title>
</cp:coreProperties>
</file>