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body>
    <!-- Modified by docx4j 8.2.0 (Apache licensed) using ECLIPSELINK_MOXy JAXB in Oracle Java 1.8.0_161 on Linux -->
    <w:p w:rsidRPr="006F0E4B" w:rsidR="001B57E5" w:rsidP="001B57E5" w:rsidRDefault="001B57E5">
      <w:pPr>
        <w:pStyle w:val="Heading1"/>
        <w:spacing w:after="0"/>
        <w:ind w:left="-709"/>
        <w:jc w:val="both"/>
        <w:rPr>
          <w:rFonts w:ascii="Roboto Condensed Light" w:hAnsi="Roboto Condensed Light"/>
          <w:b w:val="false"/>
          <w:color w:val="881E76"/>
          <w:sz w:val="20"/>
          <w:szCs w:val="20"/>
        </w:rPr>
      </w:pPr>
      <w:bookmarkStart w:id="0" w:name="_GoBack"/>
      <w:bookmarkEnd w:id="0"/>
      <w:r>
        <w:rPr>
          <w:rFonts w:ascii="Roboto Condensed Light" w:hAnsi="Roboto Condensed Light"/>
          <w:b w:val="false"/>
          <w:color w:val="881E76"/>
          <w:sz w:val="20"/>
          <w:szCs w:val="20"/>
        </w:rPr>
        <w:t>Number 4</w:t>
      </w:r>
      <w:r w:rsidRPr="006F0E4B">
        <w:rPr>
          <w:rFonts w:ascii="Roboto Condensed Light" w:hAnsi="Roboto Condensed Light"/>
          <w:b w:val="false"/>
          <w:color w:val="881E76"/>
          <w:sz w:val="20"/>
          <w:szCs w:val="20"/>
        </w:rPr>
        <w:t xml:space="preserve">, </w:t>
      </w:r>
      <w:r>
        <w:rPr>
          <w:rFonts w:ascii="Roboto Condensed Light" w:hAnsi="Roboto Condensed Light"/>
          <w:b w:val="false"/>
          <w:color w:val="881E76"/>
          <w:sz w:val="20"/>
          <w:szCs w:val="20"/>
        </w:rPr>
        <w:t>May</w:t>
      </w:r>
      <w:r w:rsidRPr="006F0E4B">
        <w:rPr>
          <w:rFonts w:ascii="Roboto Condensed Light" w:hAnsi="Roboto Condensed Light"/>
          <w:b w:val="false"/>
          <w:color w:val="881E76"/>
          <w:sz w:val="20"/>
          <w:szCs w:val="20"/>
        </w:rPr>
        <w:t xml:space="preserve"> 201</w:t>
      </w:r>
      <w:r>
        <w:rPr>
          <w:rFonts w:ascii="Roboto Condensed Light" w:hAnsi="Roboto Condensed Light"/>
          <w:b w:val="false"/>
          <w:color w:val="881E76"/>
          <w:sz w:val="20"/>
          <w:szCs w:val="20"/>
        </w:rPr>
        <w:t>6</w:t>
      </w:r>
    </w:p>
    <w:p w:rsidR="001B57E5" w:rsidP="001B57E5" w:rsidRDefault="001B57E5">
      <w:pPr>
        <w:pStyle w:val="Heading1"/>
        <w:spacing w:after="0" w:line="240" w:lineRule="auto"/>
        <w:ind w:left="-709"/>
        <w:rPr>
          <w:rFonts w:ascii="Roboto Condensed Light" w:hAnsi="Roboto Condensed Light"/>
          <w:b w:val="false"/>
          <w:sz w:val="28"/>
          <w:szCs w:val="28"/>
        </w:rPr>
      </w:pPr>
    </w:p>
    <w:p w:rsidRPr="00B03F1E" w:rsidR="001B57E5" w:rsidP="001B57E5" w:rsidRDefault="001B57E5">
      <w:pPr>
        <w:pStyle w:val="Heading1"/>
        <w:spacing w:after="0" w:line="240" w:lineRule="auto"/>
        <w:ind w:left="-709"/>
        <w:rPr>
          <w:rFonts w:ascii="Roboto Condensed Light" w:hAnsi="Roboto Condensed Light"/>
          <w:b w:val="false"/>
          <w:sz w:val="28"/>
          <w:szCs w:val="28"/>
        </w:rPr>
      </w:pPr>
      <w:r>
        <w:rPr>
          <w:rFonts w:ascii="Roboto Condensed Light" w:hAnsi="Roboto Condensed Light"/>
          <w:b w:val="false"/>
          <w:sz w:val="28"/>
          <w:szCs w:val="28"/>
        </w:rPr>
        <w:t>Predictors of recidivism amongst police recorded family violence perpetrators</w:t>
      </w:r>
    </w:p>
    <w:p w:rsidRPr="00B102DF" w:rsidR="001B57E5" w:rsidP="001B57E5" w:rsidRDefault="001B57E5">
      <w:pPr>
        <w:spacing w:after="0" w:line="240" w:lineRule="auto"/>
        <w:ind w:left="-709"/>
        <w:rPr>
          <w:rFonts w:ascii="Roboto Condensed Light" w:hAnsi="Roboto Condensed Light"/>
          <w:i/>
          <w:lang w:val="en-GB"/>
        </w:rPr>
      </w:pPr>
      <w:r w:rsidRPr="00B102DF">
        <w:rPr>
          <w:rFonts w:ascii="Roboto Condensed Light" w:hAnsi="Roboto Condensed Light"/>
          <w:i/>
          <w:lang w:val="en-GB"/>
        </w:rPr>
        <w:t xml:space="preserve">Melanie </w:t>
      </w:r>
      <w:proofErr w:type="spellStart"/>
      <w:r w:rsidRPr="00B102DF">
        <w:rPr>
          <w:rFonts w:ascii="Roboto Condensed Light" w:hAnsi="Roboto Condensed Light"/>
          <w:i/>
          <w:lang w:val="en-GB"/>
        </w:rPr>
        <w:t>Millsteed</w:t>
      </w:r>
      <w:proofErr w:type="spellEnd"/>
      <w:r w:rsidRPr="00B102DF">
        <w:rPr>
          <w:rFonts w:ascii="Roboto Condensed Light" w:hAnsi="Roboto Condensed Light"/>
          <w:i/>
          <w:lang w:val="en-GB"/>
        </w:rPr>
        <w:t xml:space="preserve"> </w:t>
      </w:r>
      <w:r>
        <w:rPr>
          <w:rFonts w:ascii="Roboto Condensed Light" w:hAnsi="Roboto Condensed Light"/>
          <w:i/>
          <w:lang w:val="en-GB"/>
        </w:rPr>
        <w:t xml:space="preserve">&amp; Sarah </w:t>
      </w:r>
      <w:proofErr w:type="spellStart"/>
      <w:r>
        <w:rPr>
          <w:rFonts w:ascii="Roboto Condensed Light" w:hAnsi="Roboto Condensed Light"/>
          <w:i/>
          <w:lang w:val="en-GB"/>
        </w:rPr>
        <w:t>Coghlan</w:t>
      </w:r>
      <w:proofErr w:type="spellEnd"/>
    </w:p>
    <w:p w:rsidRPr="00492396" w:rsidR="001B57E5" w:rsidP="001B57E5" w:rsidRDefault="001B57E5">
      <w:pPr>
        <w:pStyle w:val="ListParagraph"/>
        <w:widowControl w:val="false"/>
        <w:suppressAutoHyphens/>
        <w:autoSpaceDE w:val="false"/>
        <w:autoSpaceDN w:val="false"/>
        <w:adjustRightInd w:val="false"/>
        <w:spacing w:before="170" w:after="57" w:line="300" w:lineRule="atLeast"/>
        <w:ind w:left="1134" w:right="1418"/>
        <w:textAlignment w:val="center"/>
        <w:outlineLvl w:val="2"/>
        <w:rPr>
          <w:rFonts w:ascii="Roboto Condensed Light" w:hAnsi="Roboto Condensed Light" w:eastAsia="MS Mincho" w:cs="Times New Roman"/>
        </w:rPr>
      </w:pPr>
    </w:p>
    <w:p w:rsidRPr="00E831C9" w:rsidR="001B57E5" w:rsidP="001B57E5" w:rsidRDefault="001B57E5">
      <w:pPr>
        <w:pStyle w:val="ListParagraph"/>
        <w:widowControl w:val="false"/>
        <w:suppressAutoHyphens/>
        <w:autoSpaceDE w:val="false"/>
        <w:autoSpaceDN w:val="false"/>
        <w:adjustRightInd w:val="false"/>
        <w:spacing w:before="170" w:after="57" w:line="300" w:lineRule="atLeast"/>
        <w:ind w:left="426" w:right="1418"/>
        <w:jc w:val="both"/>
        <w:textAlignment w:val="center"/>
        <w:outlineLvl w:val="2"/>
        <w:rPr>
          <w:rFonts w:ascii="Roboto Condensed Light" w:hAnsi="Roboto Condensed Light" w:eastAsia="MS Mincho" w:cs="Times New Roman"/>
          <w:sz w:val="20"/>
          <w:szCs w:val="20"/>
        </w:rPr>
      </w:pPr>
      <w:r>
        <w:rPr>
          <w:rFonts w:ascii="Roboto Condensed Light" w:hAnsi="Roboto Condensed Light" w:eastAsia="MS Mincho" w:cs="Times New Roman"/>
          <w:sz w:val="20"/>
          <w:szCs w:val="20"/>
        </w:rPr>
        <w:t xml:space="preserve">Prior research has identified that a number of factors are associated with an increased risk of recidivism amongst perpetrators of domestic violence and that the risk assessment tools currently available have limited statistical capacity to accurately predict recidivism. In Victoria, police complete a risk assessment form (the L17 form) for each family incident reported to them. This study sought to analyse the relationship between repeat family incidents, and factors that may predict such incidents including alleged perpetrator characteristics and L17 risk factors recorded by police. Logistic regression modelling identified statistical relationships between some, but not all, of the alleged perpetrator characteristics and risk factors recorded, and the perpetration of further family incidents. Opportunities for further research are identified, including piloting and evaluation of any new or revised risk assessment tools developed in Victoria. </w:t>
      </w:r>
    </w:p>
    <w:p w:rsidRPr="00EC74B7" w:rsidR="001B57E5" w:rsidP="001B57E5" w:rsidRDefault="001B57E5">
      <w:pPr>
        <w:pStyle w:val="ListParagraph"/>
        <w:widowControl w:val="false"/>
        <w:suppressAutoHyphens/>
        <w:autoSpaceDE w:val="false"/>
        <w:autoSpaceDN w:val="false"/>
        <w:adjustRightInd w:val="false"/>
        <w:spacing w:before="170" w:after="57" w:line="300" w:lineRule="atLeast"/>
        <w:ind w:left="426" w:right="1418"/>
        <w:jc w:val="both"/>
        <w:textAlignment w:val="center"/>
        <w:outlineLvl w:val="2"/>
        <w:rPr>
          <w:rFonts w:ascii="Roboto Condensed Light" w:hAnsi="Roboto Condensed Light" w:eastAsia="MS Mincho" w:cs="Times New Roman"/>
          <w:sz w:val="20"/>
          <w:szCs w:val="20"/>
        </w:rPr>
      </w:pPr>
    </w:p>
    <w:p w:rsidRPr="008A1281" w:rsidR="001B57E5" w:rsidP="001B57E5" w:rsidRDefault="001B57E5">
      <w:pPr>
        <w:pStyle w:val="ListParagraph"/>
        <w:widowControl w:val="false"/>
        <w:suppressAutoHyphens/>
        <w:autoSpaceDE w:val="false"/>
        <w:autoSpaceDN w:val="false"/>
        <w:adjustRightInd w:val="false"/>
        <w:spacing w:before="170" w:after="57" w:line="300" w:lineRule="atLeast"/>
        <w:ind w:left="426" w:right="1418"/>
        <w:jc w:val="both"/>
        <w:textAlignment w:val="center"/>
        <w:outlineLvl w:val="2"/>
        <w:rPr>
          <w:rFonts w:ascii="Roboto Condensed Light" w:hAnsi="Roboto Condensed Light" w:eastAsia="MS Mincho" w:cs="Times New Roman"/>
          <w:sz w:val="20"/>
          <w:szCs w:val="20"/>
        </w:rPr>
      </w:pPr>
      <w:r w:rsidRPr="00EC74B7">
        <w:rPr>
          <w:rFonts w:ascii="Roboto Condensed Light" w:hAnsi="Roboto Condensed Light" w:eastAsia="MS Mincho" w:cs="Times New Roman"/>
          <w:i/>
          <w:sz w:val="20"/>
          <w:szCs w:val="20"/>
        </w:rPr>
        <w:t>Keywords</w:t>
      </w:r>
      <w:r>
        <w:rPr>
          <w:rFonts w:ascii="Roboto Condensed Light" w:hAnsi="Roboto Condensed Light" w:eastAsia="MS Mincho" w:cs="Times New Roman"/>
          <w:i/>
          <w:sz w:val="20"/>
          <w:szCs w:val="20"/>
        </w:rPr>
        <w:t xml:space="preserve"> here: </w:t>
      </w:r>
      <w:r>
        <w:rPr>
          <w:rFonts w:ascii="Roboto Condensed Light" w:hAnsi="Roboto Condensed Light" w:eastAsia="MS Mincho" w:cs="Times New Roman"/>
          <w:sz w:val="20"/>
          <w:szCs w:val="20"/>
        </w:rPr>
        <w:t>family violence, recidivism, re-offending, repeat, risk assessment, perpetrator characteristics, risk factors.</w:t>
      </w:r>
    </w:p>
    <w:p w:rsidR="001B57E5" w:rsidP="001B57E5" w:rsidRDefault="001B57E5">
      <w:pPr>
        <w:pStyle w:val="ListParagraph"/>
        <w:widowControl w:val="false"/>
        <w:suppressAutoHyphens/>
        <w:autoSpaceDE w:val="false"/>
        <w:autoSpaceDN w:val="false"/>
        <w:adjustRightInd w:val="false"/>
        <w:spacing w:before="170" w:after="57" w:line="300" w:lineRule="atLeast"/>
        <w:ind w:left="-567"/>
        <w:textAlignment w:val="center"/>
        <w:outlineLvl w:val="2"/>
        <w:rPr>
          <w:rFonts w:ascii="Roboto Light" w:hAnsi="Roboto Light" w:eastAsia="MS Mincho" w:cs="TradeGothic-Bold"/>
          <w:color w:val="808080"/>
          <w:sz w:val="26"/>
          <w:szCs w:val="26"/>
          <w:lang w:val="en-GB"/>
        </w:rPr>
      </w:pPr>
      <w:r>
        <w:rPr>
          <w:rFonts w:ascii="Roboto Light" w:hAnsi="Roboto Light" w:eastAsia="MS Mincho" w:cs="TradeGothic-Bold"/>
          <w:color w:val="808080"/>
          <w:sz w:val="26"/>
          <w:szCs w:val="26"/>
          <w:lang w:val="en-GB"/>
        </w:rPr>
        <w:tab/>
      </w:r>
      <w:r>
        <w:rPr>
          <w:rFonts w:ascii="Roboto Light" w:hAnsi="Roboto Light" w:eastAsia="MS Mincho" w:cs="TradeGothic-Bold"/>
          <w:color w:val="808080"/>
          <w:sz w:val="26"/>
          <w:szCs w:val="26"/>
          <w:lang w:val="en-GB"/>
        </w:rPr>
        <w:tab/>
      </w:r>
      <w:r>
        <w:rPr>
          <w:rFonts w:ascii="Roboto Light" w:hAnsi="Roboto Light" w:eastAsia="MS Mincho" w:cs="TradeGothic-Bold"/>
          <w:color w:val="808080"/>
          <w:sz w:val="26"/>
          <w:szCs w:val="26"/>
          <w:lang w:val="en-GB"/>
        </w:rPr>
        <w:tab/>
      </w:r>
    </w:p>
    <w:p w:rsidR="001B57E5" w:rsidP="001B57E5" w:rsidRDefault="001B57E5">
      <w:pPr>
        <w:pStyle w:val="ListParagraph"/>
        <w:widowControl w:val="false"/>
        <w:tabs>
          <w:tab w:val="left" w:pos="3780"/>
        </w:tabs>
        <w:suppressAutoHyphens/>
        <w:autoSpaceDE w:val="false"/>
        <w:autoSpaceDN w:val="false"/>
        <w:adjustRightInd w:val="false"/>
        <w:spacing w:before="170" w:after="57" w:line="300" w:lineRule="atLeast"/>
        <w:ind w:left="-567" w:firstLine="567"/>
        <w:textAlignment w:val="center"/>
        <w:outlineLvl w:val="2"/>
        <w:rPr>
          <w:rFonts w:ascii="Roboto Light" w:hAnsi="Roboto Light" w:eastAsia="MS Mincho" w:cs="TradeGothic-Bold"/>
          <w:color w:val="808080"/>
          <w:sz w:val="26"/>
          <w:szCs w:val="26"/>
          <w:lang w:val="en-GB"/>
        </w:rPr>
      </w:pPr>
      <w:r>
        <w:rPr>
          <w:rFonts w:ascii="Roboto Light" w:hAnsi="Roboto Light" w:eastAsia="MS Mincho" w:cs="TradeGothic-Bold"/>
          <w:color w:val="808080"/>
          <w:sz w:val="26"/>
          <w:szCs w:val="26"/>
          <w:lang w:val="en-GB"/>
        </w:rPr>
        <w:t xml:space="preserve">Introduction </w:t>
      </w:r>
      <w:r>
        <w:rPr>
          <w:rFonts w:ascii="Roboto Light" w:hAnsi="Roboto Light" w:eastAsia="MS Mincho" w:cs="TradeGothic-Bold"/>
          <w:color w:val="808080"/>
          <w:sz w:val="26"/>
          <w:szCs w:val="26"/>
          <w:lang w:val="en-GB"/>
        </w:rPr>
        <w:tab/>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F111D2">
        <w:rPr>
          <w:rFonts w:ascii="Roboto Condensed Light" w:hAnsi="Roboto Condensed Light" w:eastAsia="MS Mincho" w:cs="Times New Roman"/>
        </w:rPr>
        <w:t xml:space="preserve">Family violence is an issue of </w:t>
      </w:r>
      <w:r>
        <w:rPr>
          <w:rFonts w:ascii="Roboto Condensed Light" w:hAnsi="Roboto Condensed Light" w:eastAsia="MS Mincho" w:cs="Times New Roman"/>
        </w:rPr>
        <w:t xml:space="preserve">major </w:t>
      </w:r>
      <w:r w:rsidRPr="00F111D2">
        <w:rPr>
          <w:rFonts w:ascii="Roboto Condensed Light" w:hAnsi="Roboto Condensed Light" w:eastAsia="MS Mincho" w:cs="Times New Roman"/>
        </w:rPr>
        <w:t>concern for the Victorian community</w:t>
      </w:r>
      <w:r>
        <w:rPr>
          <w:rFonts w:ascii="Roboto Condensed Light" w:hAnsi="Roboto Condensed Light" w:eastAsia="MS Mincho" w:cs="Times New Roman"/>
        </w:rPr>
        <w:t xml:space="preserve">. The number of family incidents recorded by Victoria Police has increased markedly over the past five years, from 43,856 in 2011 to 74,385 in 2015 </w:t>
      </w:r>
      <w:r w:rsidRPr="0050113C">
        <w:rPr>
          <w:rFonts w:ascii="Roboto Condensed Light" w:hAnsi="Roboto Condensed Light" w:eastAsia="MS Mincho" w:cs="Times New Roman"/>
        </w:rPr>
        <w:t>(Crime Statistics Agency, 2016), likely</w:t>
      </w:r>
      <w:r>
        <w:rPr>
          <w:rFonts w:ascii="Roboto Condensed Light" w:hAnsi="Roboto Condensed Light" w:eastAsia="MS Mincho" w:cs="Times New Roman"/>
        </w:rPr>
        <w:t xml:space="preserve"> reflecting an increased focus on family violence by police, increased willingness of victims to report violence, an increase in the actual number of incidents occurring over time, or some combination of these factors. A detailed, evidence-based understanding of the characteristics and behavioural patterns of family violence perpetrators is vital for ensuring that intervention and prevention strategies are appropriately targeted. In particular, given that a recent analysis identified that alleged recidivist perpetrators accounted for almost three-quarters of all police-recorded family incidents in Victoria between 2006 and 2015 (</w:t>
      </w:r>
      <w:proofErr w:type="spellStart"/>
      <w:r>
        <w:rPr>
          <w:rFonts w:ascii="Roboto Condensed Light" w:hAnsi="Roboto Condensed Light" w:eastAsia="MS Mincho" w:cs="Times New Roman"/>
        </w:rPr>
        <w:t>Millsteed</w:t>
      </w:r>
      <w:proofErr w:type="spellEnd"/>
      <w:r>
        <w:rPr>
          <w:rFonts w:ascii="Roboto Condensed Light" w:hAnsi="Roboto Condensed Light" w:eastAsia="MS Mincho" w:cs="Times New Roman"/>
        </w:rPr>
        <w:t xml:space="preserve">, 2016), increasing understanding of this group of perpetrators is an important step in addressing the incidence of and harm caused by family violence. </w:t>
      </w:r>
    </w:p>
    <w:p w:rsidRPr="008A1281"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r>
        <w:rPr>
          <w:rFonts w:ascii="Roboto Condensed Light" w:hAnsi="Roboto Condensed Light" w:eastAsia="MS Mincho" w:cs="Times New Roman"/>
          <w:b/>
        </w:rPr>
        <w:t>Overview of</w:t>
      </w:r>
      <w:r w:rsidRPr="008A1281">
        <w:rPr>
          <w:rFonts w:ascii="Roboto Condensed Light" w:hAnsi="Roboto Condensed Light" w:eastAsia="MS Mincho" w:cs="Times New Roman"/>
          <w:b/>
        </w:rPr>
        <w:t xml:space="preserve"> </w:t>
      </w:r>
      <w:r>
        <w:rPr>
          <w:rFonts w:ascii="Roboto Condensed Light" w:hAnsi="Roboto Condensed Light" w:eastAsia="MS Mincho" w:cs="Times New Roman"/>
          <w:b/>
        </w:rPr>
        <w:t xml:space="preserve">established risk </w:t>
      </w:r>
      <w:r w:rsidRPr="008A1281">
        <w:rPr>
          <w:rFonts w:ascii="Roboto Condensed Light" w:hAnsi="Roboto Condensed Light" w:eastAsia="MS Mincho" w:cs="Times New Roman"/>
          <w:b/>
        </w:rPr>
        <w:t>factors for family violence recidivism</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 xml:space="preserve">Prior research has identified that a number of factors are statistically associated with domestic violence recidivism, though the relationships between these factors and recidivism are not always straightforward. In addition, the vast majority of this research has been conducted in the United States and United Kingdom. Such research has focused on violence between current or former intimate partners, rather than using the broader definition of family violence used in Victoria, which includes various forms of violence such as physical, emotional and economic abuse, and a wide range of family relationships.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In terms of perpetrator characteristics, perpetrator gender has been consistently found to be related to recidivism, with males far more likely to re-perpetrate domestic or intimate partner violence than females (</w:t>
      </w:r>
      <w:r w:rsidRPr="002B6314">
        <w:rPr>
          <w:rFonts w:ascii="Roboto Condensed Light" w:hAnsi="Roboto Condensed Light" w:eastAsia="MS Mincho" w:cs="Times New Roman"/>
        </w:rPr>
        <w:t xml:space="preserve">Klein, 2009; </w:t>
      </w:r>
      <w:proofErr w:type="spellStart"/>
      <w:r w:rsidRPr="002B6314">
        <w:rPr>
          <w:rFonts w:ascii="Roboto Condensed Light" w:hAnsi="Roboto Condensed Light" w:eastAsia="MS Mincho" w:cs="Times New Roman"/>
        </w:rPr>
        <w:t>Puffett</w:t>
      </w:r>
      <w:proofErr w:type="spellEnd"/>
      <w:r w:rsidRPr="008E0C13">
        <w:rPr>
          <w:rFonts w:ascii="Roboto Condensed Light" w:hAnsi="Roboto Condensed Light" w:eastAsia="MS Mincho" w:cs="Times New Roman"/>
        </w:rPr>
        <w:t xml:space="preserve"> and Gavin, 2004; </w:t>
      </w:r>
      <w:proofErr w:type="spellStart"/>
      <w:r w:rsidRPr="00842D36">
        <w:rPr>
          <w:rFonts w:ascii="Roboto Condensed Light" w:hAnsi="Roboto Condensed Light" w:eastAsia="MS Mincho" w:cs="Times New Roman"/>
        </w:rPr>
        <w:t>Wooldredge</w:t>
      </w:r>
      <w:proofErr w:type="spellEnd"/>
      <w:r w:rsidRPr="00842D36">
        <w:rPr>
          <w:rFonts w:ascii="Roboto Condensed Light" w:hAnsi="Roboto Condensed Light" w:eastAsia="MS Mincho" w:cs="Times New Roman"/>
        </w:rPr>
        <w:t xml:space="preserve"> and </w:t>
      </w:r>
      <w:proofErr w:type="spellStart"/>
      <w:r w:rsidRPr="00842D36">
        <w:rPr>
          <w:rFonts w:ascii="Roboto Condensed Light" w:hAnsi="Roboto Condensed Light" w:eastAsia="MS Mincho" w:cs="Times New Roman"/>
        </w:rPr>
        <w:t>Thistlewaite</w:t>
      </w:r>
      <w:proofErr w:type="spellEnd"/>
      <w:r w:rsidRPr="00842D36">
        <w:rPr>
          <w:rFonts w:ascii="Roboto Condensed Light" w:hAnsi="Roboto Condensed Light" w:eastAsia="MS Mincho" w:cs="Times New Roman"/>
        </w:rPr>
        <w:t>, 2005</w:t>
      </w:r>
      <w:r>
        <w:rPr>
          <w:rFonts w:ascii="Roboto Condensed Light" w:hAnsi="Roboto Condensed Light" w:eastAsia="MS Mincho" w:cs="Times New Roman"/>
        </w:rPr>
        <w:t xml:space="preserve">). Younger perpetrators have also been shown to be more likely </w:t>
      </w:r>
      <w:r>
        <w:rPr>
          <w:rFonts w:ascii="Roboto Condensed Light" w:hAnsi="Roboto Condensed Light" w:eastAsia="MS Mincho" w:cs="Times New Roman"/>
        </w:rPr>
        <w:lastRenderedPageBreak/>
        <w:t xml:space="preserve">to re-perpetrate violence than older perpetrators </w:t>
      </w:r>
      <w:r w:rsidRPr="002B6314">
        <w:rPr>
          <w:rFonts w:ascii="Roboto Condensed Light" w:hAnsi="Roboto Condensed Light" w:eastAsia="MS Mincho" w:cs="Times New Roman"/>
        </w:rPr>
        <w:t xml:space="preserve">(Klein, 2009; </w:t>
      </w:r>
      <w:proofErr w:type="spellStart"/>
      <w:r w:rsidRPr="002B6314">
        <w:rPr>
          <w:rFonts w:ascii="Roboto Condensed Light" w:hAnsi="Roboto Condensed Light" w:eastAsia="MS Mincho" w:cs="Times New Roman"/>
        </w:rPr>
        <w:t>Puffett</w:t>
      </w:r>
      <w:proofErr w:type="spellEnd"/>
      <w:r w:rsidRPr="008E0C13">
        <w:rPr>
          <w:rFonts w:ascii="Roboto Condensed Light" w:hAnsi="Roboto Condensed Light" w:eastAsia="MS Mincho" w:cs="Times New Roman"/>
        </w:rPr>
        <w:t xml:space="preserve"> and Gavin, 2004</w:t>
      </w:r>
      <w:r w:rsidRPr="0043258E">
        <w:rPr>
          <w:rFonts w:ascii="Roboto Condensed Light" w:hAnsi="Roboto Condensed Light" w:eastAsia="MS Mincho" w:cs="Times New Roman"/>
        </w:rPr>
        <w:t xml:space="preserve">; Ventura and Davis, 2005; </w:t>
      </w:r>
      <w:proofErr w:type="spellStart"/>
      <w:r w:rsidRPr="00842D36">
        <w:rPr>
          <w:rFonts w:ascii="Roboto Condensed Light" w:hAnsi="Roboto Condensed Light" w:eastAsia="MS Mincho" w:cs="Times New Roman"/>
        </w:rPr>
        <w:t>Wooldredge</w:t>
      </w:r>
      <w:proofErr w:type="spellEnd"/>
      <w:r w:rsidRPr="00842D36">
        <w:rPr>
          <w:rFonts w:ascii="Roboto Condensed Light" w:hAnsi="Roboto Condensed Light" w:eastAsia="MS Mincho" w:cs="Times New Roman"/>
        </w:rPr>
        <w:t xml:space="preserve"> and </w:t>
      </w:r>
      <w:proofErr w:type="spellStart"/>
      <w:r w:rsidRPr="00842D36">
        <w:rPr>
          <w:rFonts w:ascii="Roboto Condensed Light" w:hAnsi="Roboto Condensed Light" w:eastAsia="MS Mincho" w:cs="Times New Roman"/>
        </w:rPr>
        <w:t>Thistlewaite</w:t>
      </w:r>
      <w:proofErr w:type="spellEnd"/>
      <w:r w:rsidRPr="00842D36">
        <w:rPr>
          <w:rFonts w:ascii="Roboto Condensed Light" w:hAnsi="Roboto Condensed Light" w:eastAsia="MS Mincho" w:cs="Times New Roman"/>
        </w:rPr>
        <w:t xml:space="preserve">, 2005; </w:t>
      </w:r>
      <w:proofErr w:type="spellStart"/>
      <w:r w:rsidRPr="008B5D9C">
        <w:rPr>
          <w:rFonts w:ascii="Roboto Condensed Light" w:hAnsi="Roboto Condensed Light" w:eastAsia="MS Mincho" w:cs="Times New Roman"/>
        </w:rPr>
        <w:t>Wordes</w:t>
      </w:r>
      <w:proofErr w:type="spellEnd"/>
      <w:r w:rsidRPr="008B5D9C">
        <w:rPr>
          <w:rFonts w:ascii="Roboto Condensed Light" w:hAnsi="Roboto Condensed Light" w:eastAsia="MS Mincho" w:cs="Times New Roman"/>
        </w:rPr>
        <w:t>, 2000</w:t>
      </w:r>
      <w:r>
        <w:rPr>
          <w:rFonts w:ascii="Roboto Condensed Light" w:hAnsi="Roboto Condensed Light" w:eastAsia="MS Mincho" w:cs="Times New Roman"/>
        </w:rPr>
        <w:t xml:space="preserve">). </w:t>
      </w:r>
      <w:r w:rsidRPr="008E0C13">
        <w:rPr>
          <w:rFonts w:ascii="Roboto Condensed Light" w:hAnsi="Roboto Condensed Light" w:eastAsia="MS Mincho" w:cs="Times New Roman"/>
        </w:rPr>
        <w:t xml:space="preserve">Bennett </w:t>
      </w:r>
      <w:proofErr w:type="spellStart"/>
      <w:r w:rsidRPr="008E0C13">
        <w:rPr>
          <w:rFonts w:ascii="Roboto Condensed Light" w:hAnsi="Roboto Condensed Light" w:eastAsia="MS Mincho" w:cs="Times New Roman"/>
        </w:rPr>
        <w:t>Cattaneo</w:t>
      </w:r>
      <w:proofErr w:type="spellEnd"/>
      <w:r w:rsidRPr="008E0C13">
        <w:rPr>
          <w:rFonts w:ascii="Roboto Condensed Light" w:hAnsi="Roboto Condensed Light" w:eastAsia="MS Mincho" w:cs="Times New Roman"/>
        </w:rPr>
        <w:t xml:space="preserve"> and Goodman (2005)</w:t>
      </w:r>
      <w:r>
        <w:rPr>
          <w:rFonts w:ascii="Roboto Condensed Light" w:hAnsi="Roboto Condensed Light" w:eastAsia="MS Mincho" w:cs="Times New Roman"/>
        </w:rPr>
        <w:t xml:space="preserve"> note that there is no strong evidence of a relationship between perpetrator ethnicity or race and recidivism.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Perpetrator unemployment, residential instability, low socio-economic status, living in a socio-economically disadvantaged neighbourhood and lower levels of educational attainment in the neighbourhood have all been shown to be risk factors for domestic violence recidivism (</w:t>
      </w:r>
      <w:r w:rsidRPr="008E0C13">
        <w:rPr>
          <w:rFonts w:ascii="Roboto Condensed Light" w:hAnsi="Roboto Condensed Light" w:eastAsia="MS Mincho" w:cs="Times New Roman"/>
        </w:rPr>
        <w:t xml:space="preserve">Bennett </w:t>
      </w:r>
      <w:proofErr w:type="spellStart"/>
      <w:r w:rsidRPr="008E0C13">
        <w:rPr>
          <w:rFonts w:ascii="Roboto Condensed Light" w:hAnsi="Roboto Condensed Light" w:eastAsia="MS Mincho" w:cs="Times New Roman"/>
        </w:rPr>
        <w:t>Cattaneo</w:t>
      </w:r>
      <w:proofErr w:type="spellEnd"/>
      <w:r w:rsidRPr="008E0C13">
        <w:rPr>
          <w:rFonts w:ascii="Roboto Condensed Light" w:hAnsi="Roboto Condensed Light" w:eastAsia="MS Mincho" w:cs="Times New Roman"/>
        </w:rPr>
        <w:t xml:space="preserve"> and Goodman, 2005; </w:t>
      </w:r>
      <w:r w:rsidRPr="008B5D9C">
        <w:rPr>
          <w:rFonts w:ascii="Roboto Condensed Light" w:hAnsi="Roboto Condensed Light" w:eastAsia="MS Mincho" w:cs="Times New Roman"/>
        </w:rPr>
        <w:t xml:space="preserve">Hilton and Harris, 2005; </w:t>
      </w:r>
      <w:proofErr w:type="spellStart"/>
      <w:r w:rsidRPr="00842D36">
        <w:rPr>
          <w:rFonts w:ascii="Roboto Condensed Light" w:hAnsi="Roboto Condensed Light" w:eastAsia="MS Mincho" w:cs="Times New Roman"/>
        </w:rPr>
        <w:t>Wooldredge</w:t>
      </w:r>
      <w:proofErr w:type="spellEnd"/>
      <w:r w:rsidRPr="00842D36">
        <w:rPr>
          <w:rFonts w:ascii="Roboto Condensed Light" w:hAnsi="Roboto Condensed Light" w:eastAsia="MS Mincho" w:cs="Times New Roman"/>
        </w:rPr>
        <w:t xml:space="preserve"> and </w:t>
      </w:r>
      <w:proofErr w:type="spellStart"/>
      <w:r w:rsidRPr="00842D36">
        <w:rPr>
          <w:rFonts w:ascii="Roboto Condensed Light" w:hAnsi="Roboto Condensed Light" w:eastAsia="MS Mincho" w:cs="Times New Roman"/>
        </w:rPr>
        <w:t>Thistlewaite</w:t>
      </w:r>
      <w:proofErr w:type="spellEnd"/>
      <w:r w:rsidRPr="00842D36">
        <w:rPr>
          <w:rFonts w:ascii="Roboto Condensed Light" w:hAnsi="Roboto Condensed Light" w:eastAsia="MS Mincho" w:cs="Times New Roman"/>
        </w:rPr>
        <w:t>, 2005</w:t>
      </w:r>
      <w:r>
        <w:rPr>
          <w:rFonts w:ascii="Roboto Condensed Light" w:hAnsi="Roboto Condensed Light" w:eastAsia="MS Mincho" w:cs="Times New Roman"/>
        </w:rPr>
        <w:t xml:space="preserve">).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 xml:space="preserve">A number of studies have also identified that the offending and domestic violence histories of perpetrators are correlated with recidivism, whereby the more extensive or enduring a perpetrator’s history of violent behaviour, the more likely they are to perpetrate repeat incidents (Bowen, Gilchrist and Beech, 2005; </w:t>
      </w:r>
      <w:proofErr w:type="spellStart"/>
      <w:r>
        <w:rPr>
          <w:rFonts w:ascii="Roboto Condensed Light" w:hAnsi="Roboto Condensed Light" w:eastAsia="MS Mincho" w:cs="Times New Roman"/>
        </w:rPr>
        <w:t>Kingsnorth</w:t>
      </w:r>
      <w:proofErr w:type="spellEnd"/>
      <w:r>
        <w:rPr>
          <w:rFonts w:ascii="Roboto Condensed Light" w:hAnsi="Roboto Condensed Light" w:eastAsia="MS Mincho" w:cs="Times New Roman"/>
        </w:rPr>
        <w:t xml:space="preserve">, 2006; </w:t>
      </w:r>
      <w:proofErr w:type="spellStart"/>
      <w:r w:rsidRPr="00F111D2">
        <w:rPr>
          <w:rFonts w:ascii="Roboto Condensed Light" w:hAnsi="Roboto Condensed Light" w:eastAsia="MS Mincho" w:cs="Times New Roman"/>
        </w:rPr>
        <w:t>Ménard</w:t>
      </w:r>
      <w:proofErr w:type="spellEnd"/>
      <w:r>
        <w:rPr>
          <w:rFonts w:ascii="Roboto Condensed Light" w:hAnsi="Roboto Condensed Light" w:eastAsia="MS Mincho" w:cs="Times New Roman"/>
        </w:rPr>
        <w:t xml:space="preserve">, Anderson and </w:t>
      </w:r>
      <w:proofErr w:type="spellStart"/>
      <w:r>
        <w:rPr>
          <w:rFonts w:ascii="Roboto Condensed Light" w:hAnsi="Roboto Condensed Light" w:eastAsia="MS Mincho" w:cs="Times New Roman"/>
        </w:rPr>
        <w:t>Godboldt</w:t>
      </w:r>
      <w:proofErr w:type="spellEnd"/>
      <w:r>
        <w:rPr>
          <w:rFonts w:ascii="Roboto Condensed Light" w:hAnsi="Roboto Condensed Light" w:eastAsia="MS Mincho" w:cs="Times New Roman"/>
        </w:rPr>
        <w:t xml:space="preserve">, 2009; </w:t>
      </w:r>
      <w:r w:rsidRPr="0043258E">
        <w:rPr>
          <w:rFonts w:ascii="Roboto Condensed Light" w:hAnsi="Roboto Condensed Light" w:eastAsia="MS Mincho" w:cs="Times New Roman"/>
        </w:rPr>
        <w:t xml:space="preserve">Ventura and Davis, 2005; </w:t>
      </w:r>
      <w:proofErr w:type="spellStart"/>
      <w:r w:rsidRPr="008B5D9C">
        <w:rPr>
          <w:rFonts w:ascii="Roboto Condensed Light" w:hAnsi="Roboto Condensed Light" w:eastAsia="MS Mincho" w:cs="Times New Roman"/>
        </w:rPr>
        <w:t>Wordes</w:t>
      </w:r>
      <w:proofErr w:type="spellEnd"/>
      <w:r w:rsidRPr="008B5D9C">
        <w:rPr>
          <w:rFonts w:ascii="Roboto Condensed Light" w:hAnsi="Roboto Condensed Light" w:eastAsia="MS Mincho" w:cs="Times New Roman"/>
        </w:rPr>
        <w:t>, 2000</w:t>
      </w:r>
      <w:r>
        <w:rPr>
          <w:rFonts w:ascii="Roboto Condensed Light" w:hAnsi="Roboto Condensed Light" w:eastAsia="MS Mincho" w:cs="Times New Roman"/>
        </w:rPr>
        <w:t>). Seriousness of prior violence appears to be a less important predictor of recidivism than length of the history of violence within the relationship (</w:t>
      </w:r>
      <w:r w:rsidRPr="008E0C13">
        <w:rPr>
          <w:rFonts w:ascii="Roboto Condensed Light" w:hAnsi="Roboto Condensed Light" w:eastAsia="MS Mincho" w:cs="Times New Roman"/>
        </w:rPr>
        <w:t xml:space="preserve">Bennett </w:t>
      </w:r>
      <w:proofErr w:type="spellStart"/>
      <w:r w:rsidRPr="008E0C13">
        <w:rPr>
          <w:rFonts w:ascii="Roboto Condensed Light" w:hAnsi="Roboto Condensed Light" w:eastAsia="MS Mincho" w:cs="Times New Roman"/>
        </w:rPr>
        <w:t>Cattaneo</w:t>
      </w:r>
      <w:proofErr w:type="spellEnd"/>
      <w:r w:rsidRPr="008E0C13">
        <w:rPr>
          <w:rFonts w:ascii="Roboto Condensed Light" w:hAnsi="Roboto Condensed Light" w:eastAsia="MS Mincho" w:cs="Times New Roman"/>
        </w:rPr>
        <w:t xml:space="preserve"> and Goodman, 2005</w:t>
      </w:r>
      <w:r>
        <w:rPr>
          <w:rFonts w:ascii="Roboto Condensed Light" w:hAnsi="Roboto Condensed Light" w:eastAsia="MS Mincho" w:cs="Times New Roman"/>
        </w:rPr>
        <w:t xml:space="preserve">).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8E0C13">
        <w:rPr>
          <w:rFonts w:ascii="Roboto Condensed Light" w:hAnsi="Roboto Condensed Light" w:eastAsia="MS Mincho" w:cs="Times New Roman"/>
        </w:rPr>
        <w:t xml:space="preserve">Bennett </w:t>
      </w:r>
      <w:proofErr w:type="spellStart"/>
      <w:r w:rsidRPr="008E0C13">
        <w:rPr>
          <w:rFonts w:ascii="Roboto Condensed Light" w:hAnsi="Roboto Condensed Light" w:eastAsia="MS Mincho" w:cs="Times New Roman"/>
        </w:rPr>
        <w:t>Cattaneo</w:t>
      </w:r>
      <w:proofErr w:type="spellEnd"/>
      <w:r w:rsidRPr="008E0C13">
        <w:rPr>
          <w:rFonts w:ascii="Roboto Condensed Light" w:hAnsi="Roboto Condensed Light" w:eastAsia="MS Mincho" w:cs="Times New Roman"/>
        </w:rPr>
        <w:t xml:space="preserve"> and Goodman (2005)</w:t>
      </w:r>
      <w:r>
        <w:rPr>
          <w:rFonts w:ascii="Roboto Condensed Light" w:hAnsi="Roboto Condensed Light" w:eastAsia="MS Mincho" w:cs="Times New Roman"/>
        </w:rPr>
        <w:t xml:space="preserve"> note that victim characteristics are rarely included in studies about domestic and intimate partner violence recidivism. In his review</w:t>
      </w:r>
      <w:r w:rsidRPr="002B6314">
        <w:rPr>
          <w:rFonts w:ascii="Roboto Condensed Light" w:hAnsi="Roboto Condensed Light" w:eastAsia="MS Mincho" w:cs="Times New Roman"/>
        </w:rPr>
        <w:t>, Klein (2009) notes</w:t>
      </w:r>
      <w:r>
        <w:rPr>
          <w:rFonts w:ascii="Roboto Condensed Light" w:hAnsi="Roboto Condensed Light" w:eastAsia="MS Mincho" w:cs="Times New Roman"/>
        </w:rPr>
        <w:t xml:space="preserve"> that with the exception of gender and age, victim characteristics have not been found to be associated with an increased risk of recidivism. He notes that female victims and younger victims are associated with increased risk. There are a number of studies that indicate a correlation between victim pregnancy and increased risk of experiencing </w:t>
      </w:r>
      <w:r w:rsidRPr="00024363">
        <w:rPr>
          <w:rFonts w:ascii="Roboto Condensed Light" w:hAnsi="Roboto Condensed Light" w:eastAsia="MS Mincho" w:cs="Times New Roman"/>
        </w:rPr>
        <w:t>violence (</w:t>
      </w:r>
      <w:proofErr w:type="spellStart"/>
      <w:r w:rsidRPr="003C56BF">
        <w:rPr>
          <w:rFonts w:ascii="Roboto Condensed Light" w:hAnsi="Roboto Condensed Light" w:eastAsia="MS Mincho" w:cs="Times New Roman"/>
        </w:rPr>
        <w:t>Brownridge</w:t>
      </w:r>
      <w:proofErr w:type="spellEnd"/>
      <w:r w:rsidRPr="003C56BF">
        <w:rPr>
          <w:rFonts w:ascii="Roboto Condensed Light" w:hAnsi="Roboto Condensed Light" w:eastAsia="MS Mincho" w:cs="Times New Roman"/>
        </w:rPr>
        <w:t xml:space="preserve"> et al., 2011; </w:t>
      </w:r>
      <w:r w:rsidRPr="000A701B">
        <w:rPr>
          <w:rFonts w:ascii="Roboto Condensed Light" w:hAnsi="Roboto Condensed Light" w:eastAsia="MS Mincho" w:cs="Times New Roman"/>
        </w:rPr>
        <w:t xml:space="preserve">Campo, 2015; </w:t>
      </w:r>
      <w:r w:rsidRPr="00024363">
        <w:rPr>
          <w:rFonts w:ascii="Roboto Condensed Light" w:hAnsi="Roboto Condensed Light" w:eastAsia="MS Mincho" w:cs="Times New Roman"/>
        </w:rPr>
        <w:t>Taft</w:t>
      </w:r>
      <w:r w:rsidRPr="003C56BF">
        <w:rPr>
          <w:rFonts w:ascii="Roboto Condensed Light" w:hAnsi="Roboto Condensed Light" w:eastAsia="MS Mincho" w:cs="Times New Roman"/>
        </w:rPr>
        <w:t>, Watson and Lee, 2004). Some of these have identified that in relationships where there is pre-existing violence, pregnancy is associated with increases in severity of this violence</w:t>
      </w:r>
      <w:r>
        <w:rPr>
          <w:rFonts w:ascii="Roboto Condensed Light" w:hAnsi="Roboto Condensed Light" w:eastAsia="MS Mincho" w:cs="Times New Roman"/>
        </w:rPr>
        <w:t>. One study suggested that the increased risk is related more to the younger age of the women than the fact that they are pregnant (</w:t>
      </w:r>
      <w:r w:rsidRPr="0096534B">
        <w:rPr>
          <w:rFonts w:ascii="Roboto Condensed Light" w:hAnsi="Roboto Condensed Light" w:eastAsia="MS Mincho" w:cs="Times New Roman"/>
        </w:rPr>
        <w:t>Weisz, Canales-</w:t>
      </w:r>
      <w:proofErr w:type="spellStart"/>
      <w:r w:rsidRPr="0096534B">
        <w:rPr>
          <w:rFonts w:ascii="Roboto Condensed Light" w:hAnsi="Roboto Condensed Light" w:eastAsia="MS Mincho" w:cs="Times New Roman"/>
        </w:rPr>
        <w:t>Portalatin</w:t>
      </w:r>
      <w:proofErr w:type="spellEnd"/>
      <w:r w:rsidRPr="0096534B">
        <w:rPr>
          <w:rFonts w:ascii="Roboto Condensed Light" w:hAnsi="Roboto Condensed Light" w:eastAsia="MS Mincho" w:cs="Times New Roman"/>
        </w:rPr>
        <w:t xml:space="preserve"> and </w:t>
      </w:r>
      <w:proofErr w:type="spellStart"/>
      <w:r w:rsidRPr="0096534B">
        <w:rPr>
          <w:rFonts w:ascii="Roboto Condensed Light" w:hAnsi="Roboto Condensed Light" w:eastAsia="MS Mincho" w:cs="Times New Roman"/>
        </w:rPr>
        <w:t>Nahan</w:t>
      </w:r>
      <w:proofErr w:type="spellEnd"/>
      <w:r w:rsidRPr="0096534B">
        <w:rPr>
          <w:rFonts w:ascii="Roboto Condensed Light" w:hAnsi="Roboto Condensed Light" w:eastAsia="MS Mincho" w:cs="Times New Roman"/>
        </w:rPr>
        <w:t>, 2001</w:t>
      </w:r>
      <w:r>
        <w:rPr>
          <w:rFonts w:ascii="Roboto Condensed Light" w:hAnsi="Roboto Condensed Light" w:eastAsia="MS Mincho" w:cs="Times New Roman"/>
        </w:rPr>
        <w:t xml:space="preserve">). However, Taft, Watson and Lee’s (2004) study of 14,784 young women aged 18 to 24 found that 27% of women who had been pregnant had experienced partner violence compared with 8% of women who had never been pregnant. The nature of the relationship is not clear and Campo (2015) notes that further research exploring the relationship between pregnancy and young women’s experience of violence is required. It may be the case, for example, that young women who experience violence are at an increased risk of becoming pregnant compared to other women.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Though the majority of studies have focused only on violence perpetrated against current or former intimate partners as opposed to other types of family or domestic relationships, on balance the available evidence suggests that the type of relationship between the partners (e.g., dating, married, de facto) does not impact on likelihood of recidivism (</w:t>
      </w:r>
      <w:r w:rsidRPr="008E0C13">
        <w:rPr>
          <w:rFonts w:ascii="Roboto Condensed Light" w:hAnsi="Roboto Condensed Light" w:eastAsia="MS Mincho" w:cs="Times New Roman"/>
        </w:rPr>
        <w:t xml:space="preserve">Bennett </w:t>
      </w:r>
      <w:proofErr w:type="spellStart"/>
      <w:r w:rsidRPr="008E0C13">
        <w:rPr>
          <w:rFonts w:ascii="Roboto Condensed Light" w:hAnsi="Roboto Condensed Light" w:eastAsia="MS Mincho" w:cs="Times New Roman"/>
        </w:rPr>
        <w:t>Cattaneo</w:t>
      </w:r>
      <w:proofErr w:type="spellEnd"/>
      <w:r w:rsidRPr="008E0C13">
        <w:rPr>
          <w:rFonts w:ascii="Roboto Condensed Light" w:hAnsi="Roboto Condensed Light" w:eastAsia="MS Mincho" w:cs="Times New Roman"/>
        </w:rPr>
        <w:t xml:space="preserve"> and Goodman, 2005; </w:t>
      </w:r>
      <w:proofErr w:type="spellStart"/>
      <w:r w:rsidRPr="00FD4353">
        <w:rPr>
          <w:rFonts w:ascii="Roboto Condensed Light" w:hAnsi="Roboto Condensed Light" w:eastAsia="MS Mincho" w:cs="Times New Roman"/>
        </w:rPr>
        <w:t>Buzawa</w:t>
      </w:r>
      <w:proofErr w:type="spellEnd"/>
      <w:r w:rsidRPr="00FD4353">
        <w:rPr>
          <w:rFonts w:ascii="Roboto Condensed Light" w:hAnsi="Roboto Condensed Light" w:eastAsia="MS Mincho" w:cs="Times New Roman"/>
        </w:rPr>
        <w:t xml:space="preserve"> et al., 1999</w:t>
      </w:r>
      <w:r>
        <w:rPr>
          <w:rFonts w:ascii="Roboto Condensed Light" w:hAnsi="Roboto Condensed Light" w:eastAsia="MS Mincho" w:cs="Times New Roman"/>
        </w:rPr>
        <w:t xml:space="preserve">).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Finally, there is evidence to suggest a link between both acute and chronic alcohol and drug use and perpetration of further domestic vio</w:t>
      </w:r>
      <w:r w:rsidRPr="0050113C">
        <w:rPr>
          <w:rFonts w:ascii="Roboto Condensed Light" w:hAnsi="Roboto Condensed Light" w:eastAsia="MS Mincho" w:cs="Times New Roman"/>
        </w:rPr>
        <w:t>lence incidents (</w:t>
      </w:r>
      <w:r w:rsidRPr="008B5D9C">
        <w:rPr>
          <w:rFonts w:ascii="Roboto Condensed Light" w:hAnsi="Roboto Condensed Light" w:eastAsia="MS Mincho" w:cs="Times New Roman"/>
        </w:rPr>
        <w:t xml:space="preserve">Hilton and Harris, 2005; </w:t>
      </w:r>
      <w:proofErr w:type="spellStart"/>
      <w:r w:rsidRPr="008A3C05">
        <w:rPr>
          <w:rFonts w:ascii="Roboto Condensed Light" w:hAnsi="Roboto Condensed Light" w:eastAsia="MS Mincho" w:cs="Times New Roman"/>
        </w:rPr>
        <w:t>Hirschel</w:t>
      </w:r>
      <w:proofErr w:type="spellEnd"/>
      <w:r w:rsidRPr="008A3C05">
        <w:rPr>
          <w:rFonts w:ascii="Roboto Condensed Light" w:hAnsi="Roboto Condensed Light" w:eastAsia="MS Mincho" w:cs="Times New Roman"/>
        </w:rPr>
        <w:t xml:space="preserve"> and Dawson, 2000</w:t>
      </w:r>
      <w:r w:rsidRPr="0050113C">
        <w:rPr>
          <w:rFonts w:ascii="Roboto Condensed Light" w:hAnsi="Roboto Condensed Light" w:eastAsia="MS Mincho" w:cs="Times New Roman"/>
        </w:rPr>
        <w:t>), and some studies have found that either perpetrator and/or victim use of drugs or alcohol at the time of the initial incident is related to the occurrence of repeat incidents (</w:t>
      </w:r>
      <w:proofErr w:type="spellStart"/>
      <w:r w:rsidRPr="001E4E1B">
        <w:rPr>
          <w:rFonts w:ascii="Roboto Condensed Light" w:hAnsi="Roboto Condensed Light" w:eastAsia="MS Mincho" w:cs="Times New Roman"/>
        </w:rPr>
        <w:t>Felson</w:t>
      </w:r>
      <w:proofErr w:type="spellEnd"/>
      <w:r w:rsidRPr="001E4E1B">
        <w:rPr>
          <w:rFonts w:ascii="Roboto Condensed Light" w:hAnsi="Roboto Condensed Light" w:eastAsia="MS Mincho" w:cs="Times New Roman"/>
        </w:rPr>
        <w:t xml:space="preserve">, Ackerman and Gallagher, 2005; </w:t>
      </w:r>
      <w:proofErr w:type="spellStart"/>
      <w:r w:rsidRPr="004D4DC8">
        <w:rPr>
          <w:rFonts w:ascii="Roboto Condensed Light" w:hAnsi="Roboto Condensed Light" w:eastAsia="MS Mincho" w:cs="Times New Roman"/>
        </w:rPr>
        <w:t>Hirschel</w:t>
      </w:r>
      <w:proofErr w:type="spellEnd"/>
      <w:r w:rsidRPr="004D4DC8">
        <w:rPr>
          <w:rFonts w:ascii="Roboto Condensed Light" w:hAnsi="Roboto Condensed Light" w:eastAsia="MS Mincho" w:cs="Times New Roman"/>
        </w:rPr>
        <w:t xml:space="preserve"> et al., 2007; </w:t>
      </w:r>
      <w:proofErr w:type="spellStart"/>
      <w:r w:rsidRPr="0022261D">
        <w:rPr>
          <w:rFonts w:ascii="Roboto Condensed Light" w:hAnsi="Roboto Condensed Light" w:eastAsia="MS Mincho" w:cs="Times New Roman"/>
        </w:rPr>
        <w:t>Orchowsky</w:t>
      </w:r>
      <w:proofErr w:type="spellEnd"/>
      <w:r w:rsidRPr="0022261D">
        <w:rPr>
          <w:rFonts w:ascii="Roboto Condensed Light" w:hAnsi="Roboto Condensed Light" w:eastAsia="MS Mincho" w:cs="Times New Roman"/>
        </w:rPr>
        <w:t>, 1999</w:t>
      </w:r>
      <w:r w:rsidRPr="0050113C">
        <w:rPr>
          <w:rFonts w:ascii="Roboto Condensed Light" w:hAnsi="Roboto Condensed Light" w:eastAsia="MS Mincho" w:cs="Times New Roman"/>
        </w:rPr>
        <w:t>). However, one study identified that if the perpetrator’s use of alcohol and drugs is controlled for, victim drug and alcohol use does not appear to be related to repeat incidents (</w:t>
      </w:r>
      <w:proofErr w:type="spellStart"/>
      <w:r w:rsidRPr="0022261D">
        <w:rPr>
          <w:rFonts w:ascii="Roboto Condensed Light" w:hAnsi="Roboto Condensed Light" w:eastAsia="MS Mincho" w:cs="Times New Roman"/>
        </w:rPr>
        <w:t>Kyriacou</w:t>
      </w:r>
      <w:proofErr w:type="spellEnd"/>
      <w:r w:rsidRPr="0022261D">
        <w:rPr>
          <w:rFonts w:ascii="Roboto Condensed Light" w:hAnsi="Roboto Condensed Light" w:eastAsia="MS Mincho" w:cs="Times New Roman"/>
        </w:rPr>
        <w:t>, et al., 1999</w:t>
      </w:r>
      <w:r w:rsidRPr="0050113C">
        <w:rPr>
          <w:rFonts w:ascii="Roboto Condensed Light" w:hAnsi="Roboto Condensed Light" w:eastAsia="MS Mincho" w:cs="Times New Roman"/>
        </w:rPr>
        <w:t>).</w:t>
      </w:r>
      <w:r>
        <w:rPr>
          <w:rFonts w:ascii="Roboto Condensed Light" w:hAnsi="Roboto Condensed Light" w:eastAsia="MS Mincho" w:cs="Times New Roman"/>
        </w:rPr>
        <w:t xml:space="preserve">  </w:t>
      </w:r>
    </w:p>
    <w:p w:rsidRPr="008A1281"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r>
        <w:rPr>
          <w:rFonts w:ascii="Roboto Condensed Light" w:hAnsi="Roboto Condensed Light" w:eastAsia="MS Mincho" w:cs="Times New Roman"/>
          <w:b/>
        </w:rPr>
        <w:t>Assessing risk of recidivism</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 xml:space="preserve">Research evidence on the risk factors that are associated with domestic violence perpetration and recidivism has been used in the development of risk assessment tools, designed to provide practitioners with a basis on which to determine level of risk and in turn, put appropriate risk management strategies in place. However, evidence about the capacity of risk assessment tools to accurately predict whether a perpetrator is likely to re-perpetrate family violence </w:t>
      </w:r>
      <w:r>
        <w:rPr>
          <w:rFonts w:ascii="Roboto Condensed Light" w:hAnsi="Roboto Condensed Light" w:eastAsia="MS Mincho" w:cs="Times New Roman"/>
        </w:rPr>
        <w:lastRenderedPageBreak/>
        <w:t>is mixed. For example</w:t>
      </w:r>
      <w:r w:rsidRPr="00F111D2">
        <w:rPr>
          <w:rFonts w:ascii="Roboto Condensed Light" w:hAnsi="Roboto Condensed Light" w:eastAsia="MS Mincho" w:cs="Times New Roman"/>
        </w:rPr>
        <w:t xml:space="preserve">, the Domestic Violence Screening Instrument (DVSI) </w:t>
      </w:r>
      <w:r>
        <w:rPr>
          <w:rFonts w:ascii="Roboto Condensed Light" w:hAnsi="Roboto Condensed Light" w:eastAsia="MS Mincho" w:cs="Times New Roman"/>
        </w:rPr>
        <w:t xml:space="preserve">has been found to perform no better than chance in predicting controlling, threatening and less severe violent behaviour, but to be somewhat better than chance at predicting </w:t>
      </w:r>
      <w:r w:rsidRPr="00F525DA">
        <w:rPr>
          <w:rFonts w:ascii="Roboto Condensed Light" w:hAnsi="Roboto Condensed Light" w:eastAsia="MS Mincho" w:cs="Times New Roman"/>
        </w:rPr>
        <w:t xml:space="preserve">severe violence (Bowen, 2011). </w:t>
      </w:r>
      <w:r w:rsidRPr="008A1281">
        <w:rPr>
          <w:rFonts w:ascii="Roboto Condensed Light" w:hAnsi="Roboto Condensed Light" w:eastAsia="MS Mincho" w:cs="Times New Roman"/>
        </w:rPr>
        <w:t xml:space="preserve">It has also been highlighted that these tools may only be applicable to the sample for which they have been validated, and so may not apply to all populations or settings (Bowen, 2011).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 xml:space="preserve">In a review of intimate partner violence risk assessment tools, Messing and </w:t>
      </w:r>
      <w:proofErr w:type="spellStart"/>
      <w:r>
        <w:rPr>
          <w:rFonts w:ascii="Roboto Condensed Light" w:hAnsi="Roboto Condensed Light" w:eastAsia="MS Mincho" w:cs="Times New Roman"/>
        </w:rPr>
        <w:t>Thaller</w:t>
      </w:r>
      <w:proofErr w:type="spellEnd"/>
      <w:r>
        <w:rPr>
          <w:rFonts w:ascii="Roboto Condensed Light" w:hAnsi="Roboto Condensed Light" w:eastAsia="MS Mincho" w:cs="Times New Roman"/>
        </w:rPr>
        <w:t xml:space="preserve"> (2013) assessed the predictive validity of five established tools reported in 25 studies using the Receiver Operating Characteristics Area </w:t>
      </w:r>
      <w:proofErr w:type="gramStart"/>
      <w:r>
        <w:rPr>
          <w:rFonts w:ascii="Roboto Condensed Light" w:hAnsi="Roboto Condensed Light" w:eastAsia="MS Mincho" w:cs="Times New Roman"/>
        </w:rPr>
        <w:t>Under</w:t>
      </w:r>
      <w:proofErr w:type="gramEnd"/>
      <w:r>
        <w:rPr>
          <w:rFonts w:ascii="Roboto Condensed Light" w:hAnsi="Roboto Condensed Light" w:eastAsia="MS Mincho" w:cs="Times New Roman"/>
        </w:rPr>
        <w:t xml:space="preserve"> the Curve (AUC) statistic. The AUC demonstrates the likelihood the model will produce a higher predicted probability of recidivism for recidivist perpetrators compared with non-recidivist perpetrators. An AUC of 0.5 indicates that a</w:t>
      </w:r>
      <w:r w:rsidRPr="00DF709D">
        <w:rPr>
          <w:rFonts w:ascii="Roboto Condensed Light" w:hAnsi="Roboto Condensed Light" w:eastAsia="MS Mincho" w:cs="Times New Roman"/>
        </w:rPr>
        <w:t xml:space="preserve"> model has no ability to discriminate, an AUC between 0.7 and 0.8 indicates acceptable ability to discriminate, an AUC between 0.8 and 0.</w:t>
      </w:r>
      <w:r w:rsidRPr="00F525DA">
        <w:rPr>
          <w:rFonts w:ascii="Roboto Condensed Light" w:hAnsi="Roboto Condensed Light" w:eastAsia="MS Mincho" w:cs="Times New Roman"/>
        </w:rPr>
        <w:t>9 is considered to have excellent ability to discriminate, and an AUC greater than 0.9 is considered to have outstanding discrimination (</w:t>
      </w:r>
      <w:proofErr w:type="spellStart"/>
      <w:r w:rsidRPr="00F525DA">
        <w:rPr>
          <w:rFonts w:ascii="Roboto Condensed Light" w:hAnsi="Roboto Condensed Light" w:eastAsia="MS Mincho" w:cs="Times New Roman"/>
        </w:rPr>
        <w:t>Hosmer</w:t>
      </w:r>
      <w:proofErr w:type="spellEnd"/>
      <w:r w:rsidRPr="00F525DA">
        <w:rPr>
          <w:rFonts w:ascii="Roboto Condensed Light" w:hAnsi="Roboto Condensed Light" w:eastAsia="MS Mincho" w:cs="Times New Roman"/>
        </w:rPr>
        <w:t xml:space="preserve"> and </w:t>
      </w:r>
      <w:proofErr w:type="spellStart"/>
      <w:r w:rsidRPr="00F525DA">
        <w:rPr>
          <w:rFonts w:ascii="Roboto Condensed Light" w:hAnsi="Roboto Condensed Light" w:eastAsia="MS Mincho" w:cs="Times New Roman"/>
        </w:rPr>
        <w:t>Lemeshow</w:t>
      </w:r>
      <w:proofErr w:type="spellEnd"/>
      <w:r w:rsidRPr="00F525DA">
        <w:rPr>
          <w:rFonts w:ascii="Roboto Condensed Light" w:hAnsi="Roboto Condensed Light" w:eastAsia="MS Mincho" w:cs="Times New Roman"/>
        </w:rPr>
        <w:t>, 2000)</w:t>
      </w:r>
      <w:r>
        <w:rPr>
          <w:rFonts w:ascii="Roboto Condensed Light" w:hAnsi="Roboto Condensed Light" w:eastAsia="MS Mincho" w:cs="Times New Roman"/>
        </w:rPr>
        <w:t xml:space="preserve">. Messing and </w:t>
      </w:r>
      <w:proofErr w:type="spellStart"/>
      <w:r>
        <w:rPr>
          <w:rFonts w:ascii="Roboto Condensed Light" w:hAnsi="Roboto Condensed Light" w:eastAsia="MS Mincho" w:cs="Times New Roman"/>
        </w:rPr>
        <w:t>Thaller</w:t>
      </w:r>
      <w:proofErr w:type="spellEnd"/>
      <w:r>
        <w:rPr>
          <w:rFonts w:ascii="Roboto Condensed Light" w:hAnsi="Roboto Condensed Light" w:eastAsia="MS Mincho" w:cs="Times New Roman"/>
        </w:rPr>
        <w:t xml:space="preserve"> (2013) found that the Ontario Domestic Assault Risk Assessment (ODARA) had the highest average weighted AUC of 0.666 followed by the Spousal Assault Risk Assessment (SARA; AUC=0.628), the Danger Assessment (DA; AUC=0.618), the Domestic Violence Screening Assessment (DVSI; AUC=0.582) and the Kingston Screening Instrument for Domestic Violence (K-SID; AUC=0.537). Messing and </w:t>
      </w:r>
      <w:proofErr w:type="spellStart"/>
      <w:r>
        <w:rPr>
          <w:rFonts w:ascii="Roboto Condensed Light" w:hAnsi="Roboto Condensed Light" w:eastAsia="MS Mincho" w:cs="Times New Roman"/>
        </w:rPr>
        <w:t>Thaller</w:t>
      </w:r>
      <w:proofErr w:type="spellEnd"/>
      <w:r>
        <w:rPr>
          <w:rFonts w:ascii="Roboto Condensed Light" w:hAnsi="Roboto Condensed Light" w:eastAsia="MS Mincho" w:cs="Times New Roman"/>
        </w:rPr>
        <w:t xml:space="preserve"> (2013) found that these scores indicated all the tools predicted recidivism slightly better than chance, but statistically the AUCs indicate these tools do not have an acceptable ability to discriminate (</w:t>
      </w:r>
      <w:proofErr w:type="spellStart"/>
      <w:r>
        <w:rPr>
          <w:rFonts w:ascii="Roboto Condensed Light" w:hAnsi="Roboto Condensed Light" w:eastAsia="MS Mincho" w:cs="Times New Roman"/>
        </w:rPr>
        <w:t>Hosmer</w:t>
      </w:r>
      <w:proofErr w:type="spellEnd"/>
      <w:r>
        <w:rPr>
          <w:rFonts w:ascii="Roboto Condensed Light" w:hAnsi="Roboto Condensed Light" w:eastAsia="MS Mincho" w:cs="Times New Roman"/>
        </w:rPr>
        <w:t xml:space="preserve"> and </w:t>
      </w:r>
      <w:proofErr w:type="spellStart"/>
      <w:r>
        <w:rPr>
          <w:rFonts w:ascii="Roboto Condensed Light" w:hAnsi="Roboto Condensed Light" w:eastAsia="MS Mincho" w:cs="Times New Roman"/>
        </w:rPr>
        <w:t>Lemeshow</w:t>
      </w:r>
      <w:proofErr w:type="spellEnd"/>
      <w:r>
        <w:rPr>
          <w:rFonts w:ascii="Roboto Condensed Light" w:hAnsi="Roboto Condensed Light" w:eastAsia="MS Mincho" w:cs="Times New Roman"/>
        </w:rPr>
        <w:t xml:space="preserve">, 2000). </w:t>
      </w:r>
      <w:r w:rsidRPr="00F525DA">
        <w:rPr>
          <w:rFonts w:ascii="Roboto Condensed Light" w:hAnsi="Roboto Condensed Light" w:eastAsia="MS Mincho" w:cs="Times New Roman"/>
        </w:rPr>
        <w:t xml:space="preserve">. </w:t>
      </w:r>
      <w:proofErr w:type="spellStart"/>
      <w:r w:rsidRPr="008A1281">
        <w:rPr>
          <w:rFonts w:ascii="Roboto Condensed Light" w:hAnsi="Roboto Condensed Light" w:eastAsia="MS Mincho" w:cs="Times New Roman"/>
        </w:rPr>
        <w:t>Kropp</w:t>
      </w:r>
      <w:proofErr w:type="spellEnd"/>
      <w:r w:rsidRPr="008A1281">
        <w:rPr>
          <w:rFonts w:ascii="Roboto Condensed Light" w:hAnsi="Roboto Condensed Light" w:eastAsia="MS Mincho" w:cs="Times New Roman"/>
        </w:rPr>
        <w:t xml:space="preserve"> (2004) notes that it may not be possible to develop a tool that calculates a cut-off score that will allow professionals to determine absolutely the risk of recidivism, given that IPV is not simply a function of particular risk factors, but</w:t>
      </w:r>
      <w:r>
        <w:rPr>
          <w:rFonts w:ascii="Roboto Condensed Light" w:hAnsi="Roboto Condensed Light" w:eastAsia="MS Mincho" w:cs="Times New Roman"/>
        </w:rPr>
        <w:t xml:space="preserve"> that risk</w:t>
      </w:r>
      <w:r w:rsidRPr="008A1281">
        <w:rPr>
          <w:rFonts w:ascii="Roboto Condensed Light" w:hAnsi="Roboto Condensed Light" w:eastAsia="MS Mincho" w:cs="Times New Roman"/>
        </w:rPr>
        <w:t xml:space="preserve"> </w:t>
      </w:r>
      <w:r>
        <w:rPr>
          <w:rFonts w:ascii="Roboto Condensed Light" w:hAnsi="Roboto Condensed Light" w:eastAsia="MS Mincho" w:cs="Times New Roman"/>
        </w:rPr>
        <w:t xml:space="preserve">can be dynamic and </w:t>
      </w:r>
      <w:r w:rsidRPr="008A1281">
        <w:rPr>
          <w:rFonts w:ascii="Roboto Condensed Light" w:hAnsi="Roboto Condensed Light" w:eastAsia="MS Mincho" w:cs="Times New Roman"/>
        </w:rPr>
        <w:t xml:space="preserve">influenced by the </w:t>
      </w:r>
      <w:r>
        <w:rPr>
          <w:rFonts w:ascii="Roboto Condensed Light" w:hAnsi="Roboto Condensed Light" w:eastAsia="MS Mincho" w:cs="Times New Roman"/>
        </w:rPr>
        <w:t xml:space="preserve">situational </w:t>
      </w:r>
      <w:r w:rsidRPr="008A1281">
        <w:rPr>
          <w:rFonts w:ascii="Roboto Condensed Light" w:hAnsi="Roboto Condensed Light" w:eastAsia="MS Mincho" w:cs="Times New Roman"/>
        </w:rPr>
        <w:t>context</w:t>
      </w:r>
      <w:r>
        <w:rPr>
          <w:rFonts w:ascii="Roboto Condensed Light" w:hAnsi="Roboto Condensed Light" w:eastAsia="MS Mincho" w:cs="Times New Roman"/>
        </w:rPr>
        <w:t xml:space="preserve"> and risk factors that vary with time</w:t>
      </w:r>
      <w:r w:rsidRPr="008A1281">
        <w:rPr>
          <w:rFonts w:ascii="Roboto Condensed Light" w:hAnsi="Roboto Condensed Light" w:eastAsia="MS Mincho" w:cs="Times New Roman"/>
        </w:rPr>
        <w:t>.</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r>
        <w:rPr>
          <w:rFonts w:ascii="Roboto Condensed Light" w:hAnsi="Roboto Condensed Light" w:eastAsia="MS Mincho" w:cs="Times New Roman"/>
          <w:b/>
        </w:rPr>
        <w:t>Family violence risk assessment in Victoria</w:t>
      </w:r>
    </w:p>
    <w:p w:rsidRPr="00F111D2"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F111D2">
        <w:rPr>
          <w:rFonts w:ascii="Roboto Condensed Light" w:hAnsi="Roboto Condensed Light" w:eastAsia="MS Mincho" w:cs="Times New Roman"/>
        </w:rPr>
        <w:t>Since 2007, a specially-developed risk assessment</w:t>
      </w:r>
      <w:r>
        <w:rPr>
          <w:rFonts w:ascii="Roboto Condensed Light" w:hAnsi="Roboto Condensed Light" w:eastAsia="MS Mincho" w:cs="Times New Roman"/>
        </w:rPr>
        <w:t xml:space="preserve"> and management</w:t>
      </w:r>
      <w:r w:rsidRPr="00F111D2">
        <w:rPr>
          <w:rFonts w:ascii="Roboto Condensed Light" w:hAnsi="Roboto Condensed Light" w:eastAsia="MS Mincho" w:cs="Times New Roman"/>
        </w:rPr>
        <w:t xml:space="preserve"> tool, the Family Violence Risk Assessment and Risk Management Framework (also known as the common risk assessment framework, or CRAF) has been used by a range of Victorian government service providers. The CRAF was developed in consultation with stakeholders such as the police, the courts and family violence service providers and takes a structured professional approach to risk assessment (Department of Human Services, 2012). </w:t>
      </w:r>
      <w:r>
        <w:rPr>
          <w:rFonts w:ascii="Roboto Condensed Light" w:hAnsi="Roboto Condensed Light" w:eastAsia="MS Mincho" w:cs="Times New Roman"/>
        </w:rPr>
        <w:t>It includes a number of perpetrator, victim and relationship risk factors that have, according to those that developed the CRAF, been identified through research as being associated with a greater likelihood or severity of family violence (Department of Human Services, 2012).</w:t>
      </w:r>
    </w:p>
    <w:p w:rsidRPr="00F111D2"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F111D2">
        <w:rPr>
          <w:rFonts w:ascii="Roboto Condensed Light" w:hAnsi="Roboto Condensed Light" w:eastAsia="MS Mincho" w:cs="Times New Roman"/>
        </w:rPr>
        <w:t xml:space="preserve">The Victoria Police Family Violence Risk Assessment and Risk Management Report (known as the L17 form), which must be completed by police officers in relation to any </w:t>
      </w:r>
      <w:r>
        <w:rPr>
          <w:rFonts w:ascii="Roboto Condensed Light" w:hAnsi="Roboto Condensed Light" w:eastAsia="MS Mincho" w:cs="Times New Roman"/>
        </w:rPr>
        <w:t xml:space="preserve">alleged </w:t>
      </w:r>
      <w:r w:rsidRPr="00F111D2">
        <w:rPr>
          <w:rFonts w:ascii="Roboto Condensed Light" w:hAnsi="Roboto Condensed Light" w:eastAsia="MS Mincho" w:cs="Times New Roman"/>
        </w:rPr>
        <w:t>family incident reported to them</w:t>
      </w:r>
      <w:r>
        <w:rPr>
          <w:rFonts w:ascii="Roboto Condensed Light" w:hAnsi="Roboto Condensed Light" w:eastAsia="MS Mincho" w:cs="Times New Roman"/>
        </w:rPr>
        <w:t xml:space="preserve"> (Victoria Police, 2014)</w:t>
      </w:r>
      <w:r w:rsidRPr="00F111D2">
        <w:rPr>
          <w:rFonts w:ascii="Roboto Condensed Light" w:hAnsi="Roboto Condensed Light" w:eastAsia="MS Mincho" w:cs="Times New Roman"/>
        </w:rPr>
        <w:t xml:space="preserve">, includes risk factors that are similar but not identical to those outlined in the CRAF. The form also includes demographic information about the </w:t>
      </w:r>
      <w:r>
        <w:rPr>
          <w:rFonts w:ascii="Roboto Condensed Light" w:hAnsi="Roboto Condensed Light" w:eastAsia="MS Mincho" w:cs="Times New Roman"/>
        </w:rPr>
        <w:t xml:space="preserve">alleged </w:t>
      </w:r>
      <w:r w:rsidRPr="00F111D2">
        <w:rPr>
          <w:rFonts w:ascii="Roboto Condensed Light" w:hAnsi="Roboto Condensed Light" w:eastAsia="MS Mincho" w:cs="Times New Roman"/>
        </w:rPr>
        <w:t xml:space="preserve">perpetrator (also called the ‘other party’ or OTH) and victim (also called the affected family member or AFM), and the actions that police took. Victoria Police use the information on the L17 form to inform decisions about the safety and welfare of family violence victims, make an assessment about the likelihood of future family violence, and determine the most appropriate risk management strategy (Victoria Police, </w:t>
      </w:r>
      <w:r w:rsidRPr="000A701B">
        <w:rPr>
          <w:rFonts w:ascii="Roboto Condensed Light" w:hAnsi="Roboto Condensed Light" w:eastAsia="MS Mincho" w:cs="Times New Roman"/>
        </w:rPr>
        <w:t>2014</w:t>
      </w:r>
      <w:r w:rsidRPr="00F111D2">
        <w:rPr>
          <w:rFonts w:ascii="Roboto Condensed Light" w:hAnsi="Roboto Condensed Light" w:eastAsia="MS Mincho" w:cs="Times New Roman"/>
        </w:rPr>
        <w:t xml:space="preserve">).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F111D2">
        <w:rPr>
          <w:rFonts w:ascii="Roboto Condensed Light" w:hAnsi="Roboto Condensed Light" w:eastAsia="MS Mincho" w:cs="Times New Roman"/>
        </w:rPr>
        <w:t xml:space="preserve">Table </w:t>
      </w:r>
      <w:r>
        <w:rPr>
          <w:rFonts w:ascii="Roboto Condensed Light" w:hAnsi="Roboto Condensed Light" w:eastAsia="MS Mincho" w:cs="Times New Roman"/>
        </w:rPr>
        <w:t>1</w:t>
      </w:r>
      <w:r w:rsidRPr="00F111D2">
        <w:rPr>
          <w:rFonts w:ascii="Roboto Condensed Light" w:hAnsi="Roboto Condensed Light" w:eastAsia="MS Mincho" w:cs="Times New Roman"/>
        </w:rPr>
        <w:t xml:space="preserve"> outlines the risk factors included in the L17 form and their mapping to the factors listed in the CRAF. It should be noted that while a number of CRAF risk factors in fact relate to the</w:t>
      </w:r>
      <w:r>
        <w:rPr>
          <w:rFonts w:ascii="Roboto Condensed Light" w:hAnsi="Roboto Condensed Light" w:eastAsia="MS Mincho" w:cs="Times New Roman"/>
        </w:rPr>
        <w:t xml:space="preserve"> alleged</w:t>
      </w:r>
      <w:r w:rsidRPr="00F111D2">
        <w:rPr>
          <w:rFonts w:ascii="Roboto Condensed Light" w:hAnsi="Roboto Condensed Light" w:eastAsia="MS Mincho" w:cs="Times New Roman"/>
        </w:rPr>
        <w:t xml:space="preserve"> perpetrator’s entire history of family violence behaviour, the equivalent L17 risk factors appear to be related only to the current family incident police were </w:t>
      </w:r>
      <w:r>
        <w:rPr>
          <w:rFonts w:ascii="Roboto Condensed Light" w:hAnsi="Roboto Condensed Light" w:eastAsia="MS Mincho" w:cs="Times New Roman"/>
        </w:rPr>
        <w:t xml:space="preserve">responding to </w:t>
      </w:r>
      <w:r w:rsidRPr="00F111D2">
        <w:rPr>
          <w:rFonts w:ascii="Roboto Condensed Light" w:hAnsi="Roboto Condensed Light" w:eastAsia="MS Mincho" w:cs="Times New Roman"/>
        </w:rPr>
        <w:t>at the time. For example, the CRAF indicates an escalated risk if the perpetrator ‘has ever tried to choke victim’, and the equivalent L17 risk factor seems to indicate escalated risk if the perpetrator ‘choked AFM’ in the current incident.</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p>
    <w:p w:rsidR="001B57E5" w:rsidP="001B57E5" w:rsidRDefault="001B57E5">
      <w:pPr>
        <w:pStyle w:val="TableHeading"/>
      </w:pPr>
      <w:r>
        <w:t>Table 1: Mapping of CRAF and L17 risk factors</w:t>
      </w:r>
    </w:p>
    <w:tbl>
      <w:tblPr>
        <w:tblStyle w:val="TableGrid"/>
        <w:tblpPr w:leftFromText="180" w:rightFromText="180" w:vertAnchor="text" w:tblpY="1"/>
        <w:tblOverlap w:val="never"/>
        <w:tblW w:w="8926" w:type="dxa"/>
        <w:tblLook w:firstRow="1" w:lastRow="0" w:firstColumn="1" w:lastColumn="0" w:noHBand="0" w:noVBand="1" w:val="04A0"/>
      </w:tblPr>
      <w:tblGrid>
        <w:gridCol w:w="4463"/>
        <w:gridCol w:w="4463"/>
      </w:tblGrid>
      <w:tr w:rsidR="001B57E5" w:rsidTr="00DC15CD">
        <w:trPr>
          <w:trHeight w:val="264"/>
        </w:trPr>
        <w:tc>
          <w:tcPr>
            <w:tcW w:w="4463" w:type="dxa"/>
            <w:vMerge w:val="restar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001B57E5" w:rsidP="00DC15CD" w:rsidRDefault="001B57E5">
            <w:pPr>
              <w:rPr>
                <w:rFonts w:ascii="Roboto Condensed Light" w:hAnsi="Roboto Condensed Light"/>
                <w:color w:val="FFFFFF" w:themeColor="background1"/>
                <w:sz w:val="20"/>
                <w:szCs w:val="20"/>
              </w:rPr>
            </w:pPr>
            <w:r>
              <w:rPr>
                <w:rFonts w:ascii="Roboto Condensed Light" w:hAnsi="Roboto Condensed Light"/>
                <w:color w:val="FFFFFF" w:themeColor="background1"/>
                <w:sz w:val="20"/>
                <w:szCs w:val="20"/>
              </w:rPr>
              <w:t>CRAF risk factor description</w:t>
            </w:r>
          </w:p>
        </w:tc>
        <w:tc>
          <w:tcPr>
            <w:tcW w:w="4463" w:type="dxa"/>
            <w:vMerge w:val="restar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001B57E5" w:rsidP="00DC15CD" w:rsidRDefault="001B57E5">
            <w:pPr>
              <w:rPr>
                <w:rFonts w:ascii="Roboto Condensed Light" w:hAnsi="Roboto Condensed Light"/>
                <w:color w:val="FFFFFF" w:themeColor="background1"/>
                <w:sz w:val="20"/>
                <w:szCs w:val="20"/>
              </w:rPr>
            </w:pPr>
            <w:r>
              <w:rPr>
                <w:rFonts w:ascii="Roboto Condensed Light" w:hAnsi="Roboto Condensed Light"/>
                <w:color w:val="FFFFFF" w:themeColor="background1"/>
                <w:sz w:val="20"/>
                <w:szCs w:val="20"/>
              </w:rPr>
              <w:t>L17 Risk Factor(s) description</w:t>
            </w:r>
          </w:p>
        </w:tc>
      </w:tr>
      <w:tr w:rsidR="001B57E5" w:rsidTr="00DC15CD">
        <w:trPr>
          <w:trHeight w:val="264"/>
        </w:trPr>
        <w:tc>
          <w:tcPr>
            <w:tcW w:w="4463" w:type="dxa"/>
            <w:vMerge/>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rPr>
                <w:rFonts w:ascii="Roboto Condensed Light" w:hAnsi="Roboto Condensed Light" w:eastAsiaTheme="minorHAnsi"/>
                <w:color w:val="FFFFFF" w:themeColor="background1"/>
                <w:sz w:val="20"/>
                <w:szCs w:val="20"/>
              </w:rPr>
            </w:pPr>
          </w:p>
        </w:tc>
        <w:tc>
          <w:tcPr>
            <w:tcW w:w="4463" w:type="dxa"/>
            <w:vMerge/>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rPr>
                <w:rFonts w:ascii="Roboto Condensed Light" w:hAnsi="Roboto Condensed Light" w:eastAsiaTheme="minorHAnsi"/>
                <w:color w:val="FFFFFF" w:themeColor="background1"/>
                <w:sz w:val="20"/>
                <w:szCs w:val="20"/>
              </w:rPr>
            </w:pPr>
          </w:p>
        </w:tc>
      </w:tr>
      <w:tr w:rsidR="001B57E5" w:rsidTr="00DC15CD">
        <w:tc>
          <w:tcPr>
            <w:tcW w:w="8926" w:type="dxa"/>
            <w:gridSpan w:val="2"/>
            <w:tcBorders>
              <w:top w:val="single" w:color="auto" w:sz="4" w:space="0"/>
              <w:left w:val="single" w:color="auto" w:sz="4" w:space="0"/>
              <w:bottom w:val="single" w:color="auto" w:sz="4" w:space="0"/>
              <w:right w:val="single" w:color="auto" w:sz="4" w:space="0"/>
            </w:tcBorders>
            <w:shd w:val="clear" w:color="auto" w:fill="BD8EB9"/>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Perpetrator risk factors</w:t>
            </w:r>
          </w:p>
        </w:tc>
      </w:tr>
      <w:tr w:rsidR="001B57E5" w:rsidTr="00DC15CD">
        <w:tc>
          <w:tcPr>
            <w:tcW w:w="4463" w:type="dxa"/>
            <w:vMerge w:val="restart"/>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Use of weapon in most recent event</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Firearms threatened/used</w:t>
            </w:r>
          </w:p>
        </w:tc>
      </w:tr>
      <w:tr w:rsidR="001B57E5" w:rsidTr="00DC15CD">
        <w:tc>
          <w:tcPr>
            <w:tcW w:w="4463" w:type="dxa"/>
            <w:vMerge/>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rPr>
                <w:rFonts w:ascii="Roboto Condensed Light" w:hAnsi="Roboto Condensed Light" w:eastAsiaTheme="minorHAnsi"/>
                <w:sz w:val="20"/>
                <w:szCs w:val="20"/>
              </w:rPr>
            </w:pP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Weapons (not firearms) used</w:t>
            </w:r>
          </w:p>
        </w:tc>
      </w:tr>
      <w:tr w:rsidR="001B57E5" w:rsidTr="00DC15CD">
        <w:tc>
          <w:tcPr>
            <w:tcW w:w="4463" w:type="dxa"/>
            <w:vMerge w:val="restart"/>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Access to weapons</w:t>
            </w:r>
          </w:p>
          <w:p w:rsidR="001B57E5" w:rsidP="00DC15CD" w:rsidRDefault="001B57E5">
            <w:pPr>
              <w:rPr>
                <w:rFonts w:ascii="Roboto Condensed Light" w:hAnsi="Roboto Condensed Light"/>
                <w:sz w:val="20"/>
                <w:szCs w:val="20"/>
              </w:rPr>
            </w:pP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Perpetrator has firearms license</w:t>
            </w:r>
          </w:p>
        </w:tc>
      </w:tr>
      <w:tr w:rsidR="001B57E5" w:rsidTr="00DC15CD">
        <w:tc>
          <w:tcPr>
            <w:tcW w:w="4463" w:type="dxa"/>
            <w:vMerge/>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rPr>
                <w:rFonts w:ascii="Roboto Condensed Light" w:hAnsi="Roboto Condensed Light" w:eastAsiaTheme="minorHAnsi"/>
                <w:sz w:val="20"/>
                <w:szCs w:val="20"/>
              </w:rPr>
            </w:pP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Firearm(s) present at address</w:t>
            </w:r>
          </w:p>
        </w:tc>
      </w:tr>
      <w:tr w:rsidR="001B57E5" w:rsidTr="00DC15CD">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Has ever harmed/threatened to harm victim</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Harmed/threatened to harm AFM</w:t>
            </w:r>
          </w:p>
        </w:tc>
      </w:tr>
      <w:tr w:rsidR="001B57E5" w:rsidTr="00DC15CD">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Has ever tried to choke victim</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Choked AFM</w:t>
            </w:r>
          </w:p>
        </w:tc>
      </w:tr>
      <w:tr w:rsidR="001B57E5" w:rsidTr="00DC15CD">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Has ever threatened to kill victim</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Threatened to kill AFM</w:t>
            </w:r>
          </w:p>
        </w:tc>
      </w:tr>
      <w:tr w:rsidR="001B57E5" w:rsidTr="00DC15CD">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Has ever harmed/threatened to harm/kill children</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Harmed or threatened harm/kill children</w:t>
            </w:r>
          </w:p>
        </w:tc>
      </w:tr>
      <w:tr w:rsidR="001B57E5" w:rsidTr="00DC15CD">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Has ever harmed/threatened to harm/kill other family members</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Harmed or threatened harm/kill family</w:t>
            </w:r>
          </w:p>
        </w:tc>
      </w:tr>
      <w:tr w:rsidR="001B57E5" w:rsidTr="00DC15CD">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Has ever harmed/threatened to harm/kill pets</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Harmed or threatened harm/kill pets</w:t>
            </w:r>
          </w:p>
        </w:tc>
      </w:tr>
      <w:tr w:rsidR="001B57E5" w:rsidTr="00DC15CD">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Has ever threatened/ attempted suicide</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Suicidal ideas/attempted suicide</w:t>
            </w:r>
          </w:p>
        </w:tc>
      </w:tr>
      <w:tr w:rsidR="001B57E5" w:rsidTr="00DC15CD">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 xml:space="preserve">Stalking of the victim </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Stalked AFM</w:t>
            </w:r>
          </w:p>
        </w:tc>
      </w:tr>
      <w:tr w:rsidR="001B57E5" w:rsidTr="00DC15CD">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Sexual assault of the victim</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Sexual assault of AFM</w:t>
            </w:r>
          </w:p>
        </w:tc>
      </w:tr>
      <w:tr w:rsidR="001B57E5" w:rsidTr="00DC15CD">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Previous/current breach of intervention order</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Breach of current/previous IO</w:t>
            </w:r>
          </w:p>
        </w:tc>
      </w:tr>
      <w:tr w:rsidR="001B57E5" w:rsidTr="00DC15CD">
        <w:tc>
          <w:tcPr>
            <w:tcW w:w="4463" w:type="dxa"/>
            <w:vMerge w:val="restart"/>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Drug/alcohol misuse</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Alcohol use possible</w:t>
            </w:r>
          </w:p>
        </w:tc>
      </w:tr>
      <w:tr w:rsidR="001B57E5" w:rsidTr="00DC15CD">
        <w:tc>
          <w:tcPr>
            <w:tcW w:w="4463" w:type="dxa"/>
            <w:vMerge/>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rPr>
                <w:rFonts w:ascii="Roboto Condensed Light" w:hAnsi="Roboto Condensed Light" w:eastAsiaTheme="minorHAnsi"/>
                <w:sz w:val="20"/>
                <w:szCs w:val="20"/>
              </w:rPr>
            </w:pP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Alcohol use definite</w:t>
            </w:r>
          </w:p>
        </w:tc>
      </w:tr>
      <w:tr w:rsidR="001B57E5" w:rsidTr="00DC15CD">
        <w:tc>
          <w:tcPr>
            <w:tcW w:w="4463" w:type="dxa"/>
            <w:vMerge/>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rPr>
                <w:rFonts w:ascii="Roboto Condensed Light" w:hAnsi="Roboto Condensed Light" w:eastAsiaTheme="minorHAnsi"/>
                <w:sz w:val="20"/>
                <w:szCs w:val="20"/>
              </w:rPr>
            </w:pP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Drug use possible</w:t>
            </w:r>
          </w:p>
        </w:tc>
      </w:tr>
      <w:tr w:rsidR="001B57E5" w:rsidTr="00DC15CD">
        <w:tc>
          <w:tcPr>
            <w:tcW w:w="4463" w:type="dxa"/>
            <w:vMerge/>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rPr>
                <w:rFonts w:ascii="Roboto Condensed Light" w:hAnsi="Roboto Condensed Light" w:eastAsiaTheme="minorHAnsi"/>
                <w:sz w:val="20"/>
                <w:szCs w:val="20"/>
              </w:rPr>
            </w:pP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Drug use definite</w:t>
            </w:r>
          </w:p>
        </w:tc>
      </w:tr>
      <w:tr w:rsidR="001B57E5" w:rsidTr="00DC15CD">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Obsession/jealous behaviour towards victim</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No L17 equivalent</w:t>
            </w:r>
          </w:p>
        </w:tc>
      </w:tr>
      <w:tr w:rsidR="001B57E5" w:rsidTr="00DC15CD">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Controlling behaviour</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Controlling behaviours</w:t>
            </w:r>
          </w:p>
        </w:tc>
      </w:tr>
      <w:tr w:rsidR="001B57E5" w:rsidTr="00DC15CD">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Unemployment</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Unemployed</w:t>
            </w:r>
          </w:p>
        </w:tc>
      </w:tr>
      <w:tr w:rsidR="001B57E5" w:rsidTr="00DC15CD">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 xml:space="preserve">Depression/ </w:t>
            </w:r>
          </w:p>
          <w:p w:rsidR="001B57E5" w:rsidP="00DC15CD" w:rsidRDefault="001B57E5">
            <w:pPr>
              <w:rPr>
                <w:rFonts w:ascii="Roboto Condensed Light" w:hAnsi="Roboto Condensed Light"/>
                <w:sz w:val="20"/>
                <w:szCs w:val="20"/>
              </w:rPr>
            </w:pPr>
            <w:r>
              <w:rPr>
                <w:rFonts w:ascii="Roboto Condensed Light" w:hAnsi="Roboto Condensed Light"/>
                <w:sz w:val="20"/>
                <w:szCs w:val="20"/>
              </w:rPr>
              <w:t>mental health issue</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Depression/mental health issue</w:t>
            </w:r>
          </w:p>
        </w:tc>
      </w:tr>
      <w:tr w:rsidR="001B57E5" w:rsidTr="00DC15CD">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History of violent behaviour</w:t>
            </w:r>
          </w:p>
        </w:tc>
        <w:tc>
          <w:tcPr>
            <w:tcW w:w="4463" w:type="dxa"/>
            <w:tcBorders>
              <w:top w:val="single" w:color="auto" w:sz="4" w:space="0"/>
              <w:left w:val="single" w:color="auto" w:sz="4" w:space="0"/>
              <w:bottom w:val="single" w:color="auto" w:sz="4" w:space="0"/>
              <w:right w:val="single" w:color="auto" w:sz="4" w:space="0"/>
            </w:tcBorders>
            <w:hideMark/>
          </w:tcPr>
          <w:p w:rsidR="001B57E5" w:rsidP="00DC15CD" w:rsidRDefault="001B57E5">
            <w:pPr>
              <w:rPr>
                <w:rFonts w:ascii="Roboto Condensed Light" w:hAnsi="Roboto Condensed Light"/>
                <w:sz w:val="20"/>
                <w:szCs w:val="20"/>
              </w:rPr>
            </w:pPr>
            <w:r>
              <w:rPr>
                <w:rFonts w:ascii="Roboto Condensed Light" w:hAnsi="Roboto Condensed Light"/>
                <w:sz w:val="20"/>
                <w:szCs w:val="20"/>
              </w:rPr>
              <w:t>History violent behaviour</w:t>
            </w:r>
          </w:p>
        </w:tc>
      </w:tr>
      <w:tr w:rsidR="001B57E5" w:rsidTr="00DC15CD">
        <w:tc>
          <w:tcPr>
            <w:tcW w:w="8926" w:type="dxa"/>
            <w:gridSpan w:val="2"/>
            <w:tcBorders>
              <w:top w:val="single" w:color="auto" w:sz="4" w:space="0"/>
              <w:left w:val="single" w:color="auto" w:sz="4" w:space="0"/>
              <w:bottom w:val="single" w:color="auto" w:sz="4" w:space="0"/>
              <w:right w:val="single" w:color="auto" w:sz="4" w:space="0"/>
            </w:tcBorders>
            <w:shd w:val="clear" w:color="auto" w:fill="BD8EB9"/>
          </w:tcPr>
          <w:p w:rsidR="001B57E5" w:rsidP="00DC15CD" w:rsidRDefault="001B57E5">
            <w:pPr>
              <w:rPr>
                <w:rFonts w:ascii="Roboto Condensed Light" w:hAnsi="Roboto Condensed Light"/>
                <w:sz w:val="20"/>
                <w:szCs w:val="20"/>
              </w:rPr>
            </w:pPr>
            <w:r>
              <w:rPr>
                <w:rFonts w:ascii="Roboto Condensed Light" w:hAnsi="Roboto Condensed Light"/>
                <w:sz w:val="20"/>
                <w:szCs w:val="20"/>
              </w:rPr>
              <w:t>Victim risk factors</w:t>
            </w:r>
          </w:p>
        </w:tc>
      </w:tr>
      <w:tr w:rsidR="001B57E5" w:rsidTr="00DC15CD">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Pregnancy/new birth</w:t>
            </w:r>
          </w:p>
        </w:tc>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Pregnancy/new birth</w:t>
            </w:r>
          </w:p>
        </w:tc>
      </w:tr>
      <w:tr w:rsidR="001B57E5" w:rsidTr="00DC15CD">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Depression/mental health issue</w:t>
            </w:r>
          </w:p>
        </w:tc>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Depression/mental health issue</w:t>
            </w:r>
          </w:p>
        </w:tc>
      </w:tr>
      <w:tr w:rsidR="001B57E5" w:rsidTr="00DC15CD">
        <w:tc>
          <w:tcPr>
            <w:tcW w:w="4463" w:type="dxa"/>
            <w:vMerge w:val="restart"/>
            <w:tcBorders>
              <w:top w:val="single" w:color="auto" w:sz="4" w:space="0"/>
              <w:left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Drug/alcohol misuse</w:t>
            </w:r>
          </w:p>
          <w:p w:rsidR="001B57E5" w:rsidP="00DC15CD" w:rsidRDefault="001B57E5">
            <w:pPr>
              <w:rPr>
                <w:rFonts w:ascii="Roboto Condensed Light" w:hAnsi="Roboto Condensed Light"/>
                <w:sz w:val="20"/>
                <w:szCs w:val="20"/>
              </w:rPr>
            </w:pPr>
          </w:p>
        </w:tc>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Alcohol use possible</w:t>
            </w:r>
          </w:p>
        </w:tc>
      </w:tr>
      <w:tr w:rsidR="001B57E5" w:rsidTr="00DC15CD">
        <w:tc>
          <w:tcPr>
            <w:tcW w:w="4463" w:type="dxa"/>
            <w:vMerge/>
            <w:tcBorders>
              <w:left w:val="single" w:color="auto" w:sz="4" w:space="0"/>
              <w:right w:val="single" w:color="auto" w:sz="4" w:space="0"/>
            </w:tcBorders>
            <w:vAlign w:val="center"/>
          </w:tcPr>
          <w:p w:rsidR="001B57E5" w:rsidP="00DC15CD" w:rsidRDefault="001B57E5">
            <w:pPr>
              <w:rPr>
                <w:rFonts w:ascii="Roboto Condensed Light" w:hAnsi="Roboto Condensed Light"/>
                <w:sz w:val="20"/>
                <w:szCs w:val="20"/>
              </w:rPr>
            </w:pPr>
          </w:p>
        </w:tc>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Alcohol use definite</w:t>
            </w:r>
          </w:p>
        </w:tc>
      </w:tr>
      <w:tr w:rsidR="001B57E5" w:rsidTr="00DC15CD">
        <w:tc>
          <w:tcPr>
            <w:tcW w:w="4463" w:type="dxa"/>
            <w:vMerge/>
            <w:tcBorders>
              <w:left w:val="single" w:color="auto" w:sz="4" w:space="0"/>
              <w:right w:val="single" w:color="auto" w:sz="4" w:space="0"/>
            </w:tcBorders>
            <w:vAlign w:val="center"/>
          </w:tcPr>
          <w:p w:rsidR="001B57E5" w:rsidP="00DC15CD" w:rsidRDefault="001B57E5">
            <w:pPr>
              <w:rPr>
                <w:rFonts w:ascii="Roboto Condensed Light" w:hAnsi="Roboto Condensed Light"/>
                <w:sz w:val="20"/>
                <w:szCs w:val="20"/>
              </w:rPr>
            </w:pPr>
          </w:p>
        </w:tc>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Drug use possible</w:t>
            </w:r>
          </w:p>
        </w:tc>
      </w:tr>
      <w:tr w:rsidR="001B57E5" w:rsidTr="00DC15CD">
        <w:tc>
          <w:tcPr>
            <w:tcW w:w="4463" w:type="dxa"/>
            <w:vMerge/>
            <w:tcBorders>
              <w:left w:val="single" w:color="auto" w:sz="4" w:space="0"/>
              <w:bottom w:val="single" w:color="auto" w:sz="4" w:space="0"/>
              <w:right w:val="single" w:color="auto" w:sz="4" w:space="0"/>
            </w:tcBorders>
            <w:vAlign w:val="center"/>
          </w:tcPr>
          <w:p w:rsidR="001B57E5" w:rsidP="00DC15CD" w:rsidRDefault="001B57E5">
            <w:pPr>
              <w:rPr>
                <w:rFonts w:ascii="Roboto Condensed Light" w:hAnsi="Roboto Condensed Light"/>
                <w:sz w:val="20"/>
                <w:szCs w:val="20"/>
              </w:rPr>
            </w:pPr>
          </w:p>
        </w:tc>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Drug use definite</w:t>
            </w:r>
          </w:p>
        </w:tc>
      </w:tr>
      <w:tr w:rsidR="001B57E5" w:rsidTr="00DC15CD">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Suicidal ideas/attempted suicide</w:t>
            </w:r>
          </w:p>
        </w:tc>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Suicidal ideas/attempted suicide</w:t>
            </w:r>
          </w:p>
        </w:tc>
      </w:tr>
      <w:tr w:rsidR="001B57E5" w:rsidTr="00DC15CD">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Social isolation</w:t>
            </w:r>
          </w:p>
        </w:tc>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Isolation</w:t>
            </w:r>
          </w:p>
        </w:tc>
      </w:tr>
      <w:tr w:rsidR="001B57E5" w:rsidTr="00DC15CD">
        <w:tc>
          <w:tcPr>
            <w:tcW w:w="8926" w:type="dxa"/>
            <w:gridSpan w:val="2"/>
            <w:tcBorders>
              <w:top w:val="single" w:color="auto" w:sz="4" w:space="0"/>
              <w:left w:val="single" w:color="auto" w:sz="4" w:space="0"/>
              <w:bottom w:val="single" w:color="auto" w:sz="4" w:space="0"/>
              <w:right w:val="single" w:color="auto" w:sz="4" w:space="0"/>
            </w:tcBorders>
            <w:shd w:val="clear" w:color="auto" w:fill="BD8EB9"/>
          </w:tcPr>
          <w:p w:rsidR="001B57E5" w:rsidP="00DC15CD" w:rsidRDefault="001B57E5">
            <w:pPr>
              <w:rPr>
                <w:rFonts w:ascii="Roboto Condensed Light" w:hAnsi="Roboto Condensed Light"/>
                <w:sz w:val="20"/>
                <w:szCs w:val="20"/>
              </w:rPr>
            </w:pPr>
            <w:r>
              <w:rPr>
                <w:rFonts w:ascii="Roboto Condensed Light" w:hAnsi="Roboto Condensed Light"/>
                <w:sz w:val="20"/>
                <w:szCs w:val="20"/>
              </w:rPr>
              <w:t>Relationship risk factors</w:t>
            </w:r>
          </w:p>
        </w:tc>
      </w:tr>
      <w:tr w:rsidR="001B57E5" w:rsidTr="00DC15CD">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Recent separation</w:t>
            </w:r>
          </w:p>
        </w:tc>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Recent separation</w:t>
            </w:r>
          </w:p>
        </w:tc>
      </w:tr>
      <w:tr w:rsidR="001B57E5" w:rsidTr="00DC15CD">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 xml:space="preserve">Escalation/increase in severity/frequency </w:t>
            </w:r>
          </w:p>
        </w:tc>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Escalation – increase in severity and/or frequency</w:t>
            </w:r>
          </w:p>
        </w:tc>
      </w:tr>
      <w:tr w:rsidR="001B57E5" w:rsidTr="00DC15CD">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Financial difficulties</w:t>
            </w:r>
          </w:p>
        </w:tc>
        <w:tc>
          <w:tcPr>
            <w:tcW w:w="4463" w:type="dxa"/>
            <w:tcBorders>
              <w:top w:val="single" w:color="auto" w:sz="4" w:space="0"/>
              <w:left w:val="single" w:color="auto" w:sz="4" w:space="0"/>
              <w:bottom w:val="single" w:color="auto" w:sz="4" w:space="0"/>
              <w:right w:val="single" w:color="auto" w:sz="4" w:space="0"/>
            </w:tcBorders>
          </w:tcPr>
          <w:p w:rsidR="001B57E5" w:rsidP="00DC15CD" w:rsidRDefault="001B57E5">
            <w:pPr>
              <w:rPr>
                <w:rFonts w:ascii="Roboto Condensed Light" w:hAnsi="Roboto Condensed Light"/>
                <w:sz w:val="20"/>
                <w:szCs w:val="20"/>
              </w:rPr>
            </w:pPr>
            <w:r>
              <w:rPr>
                <w:rFonts w:ascii="Roboto Condensed Light" w:hAnsi="Roboto Condensed Light"/>
                <w:sz w:val="20"/>
                <w:szCs w:val="20"/>
              </w:rPr>
              <w:t>Financial difficulties</w:t>
            </w:r>
          </w:p>
        </w:tc>
      </w:tr>
    </w:tbl>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Pr="008A1281"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r>
        <w:rPr>
          <w:rFonts w:ascii="Roboto Condensed Light" w:hAnsi="Roboto Condensed Light" w:eastAsia="MS Mincho" w:cs="Times New Roman"/>
          <w:b/>
        </w:rPr>
        <w:t>The current study</w:t>
      </w:r>
    </w:p>
    <w:p w:rsidRPr="00521655"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 xml:space="preserve">The fact that since late 2004, Victoria Police have been required to complete a CRAF-based risk assessment for every family incident that is reported to them by completing the L17 form (Victoria Police, 2014) presents a unique opportunity to examine the capacity of the CRAF risk factors to predict alleged family violence recidivism. This work is particularly timely, given that the Royal Commission into Family Violence recently recommended that the CRAF be </w:t>
      </w:r>
      <w:r>
        <w:rPr>
          <w:rFonts w:ascii="Roboto Condensed Light" w:hAnsi="Roboto Condensed Light" w:eastAsia="MS Mincho" w:cs="Times New Roman"/>
        </w:rPr>
        <w:lastRenderedPageBreak/>
        <w:t xml:space="preserve">reformed by the end of 2017 (State of Victoria, 2016a) and the predictive validity of the CRAF in determining which alleged perpetrators will perpetrate further incidents does not appear to have been evaluated previously. Further, the vast majority of prior research discussed above is based on intimate partner violence, and the extent to which such research is </w:t>
      </w:r>
      <w:proofErr w:type="spellStart"/>
      <w:r>
        <w:rPr>
          <w:rFonts w:ascii="Roboto Condensed Light" w:hAnsi="Roboto Condensed Light" w:eastAsia="MS Mincho" w:cs="Times New Roman"/>
        </w:rPr>
        <w:t>generalisable</w:t>
      </w:r>
      <w:proofErr w:type="spellEnd"/>
      <w:r>
        <w:rPr>
          <w:rFonts w:ascii="Roboto Condensed Light" w:hAnsi="Roboto Condensed Light" w:eastAsia="MS Mincho" w:cs="Times New Roman"/>
        </w:rPr>
        <w:t xml:space="preserve"> more broadly to family violence as defined by the Victorian </w:t>
      </w:r>
      <w:r>
        <w:rPr>
          <w:rFonts w:ascii="Roboto Condensed Light" w:hAnsi="Roboto Condensed Light" w:eastAsia="MS Mincho" w:cs="Times New Roman"/>
          <w:i/>
        </w:rPr>
        <w:t xml:space="preserve">Family Violence Protection Act (2008) </w:t>
      </w:r>
      <w:r>
        <w:rPr>
          <w:rFonts w:ascii="Roboto Condensed Light" w:hAnsi="Roboto Condensed Light" w:eastAsia="MS Mincho" w:cs="Times New Roman"/>
        </w:rPr>
        <w:t xml:space="preserve">has not been examined.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F111D2">
        <w:rPr>
          <w:rFonts w:ascii="Roboto Condensed Light" w:hAnsi="Roboto Condensed Light" w:eastAsia="MS Mincho" w:cs="Times New Roman"/>
        </w:rPr>
        <w:t>A key component of commissioned research the CSA completed for the RCFV</w:t>
      </w:r>
      <w:r>
        <w:rPr>
          <w:rFonts w:ascii="Roboto Condensed Light" w:hAnsi="Roboto Condensed Light" w:eastAsia="MS Mincho" w:cs="Times New Roman"/>
        </w:rPr>
        <w:t>—from which this analysis is drawn—sought to begin to address these</w:t>
      </w:r>
      <w:r w:rsidRPr="00F111D2">
        <w:rPr>
          <w:rFonts w:ascii="Roboto Condensed Light" w:hAnsi="Roboto Condensed Light" w:eastAsia="MS Mincho" w:cs="Times New Roman"/>
        </w:rPr>
        <w:t xml:space="preserve"> gap</w:t>
      </w:r>
      <w:r>
        <w:rPr>
          <w:rFonts w:ascii="Roboto Condensed Light" w:hAnsi="Roboto Condensed Light" w:eastAsia="MS Mincho" w:cs="Times New Roman"/>
        </w:rPr>
        <w:t>s</w:t>
      </w:r>
      <w:r w:rsidRPr="00F111D2">
        <w:rPr>
          <w:rFonts w:ascii="Roboto Condensed Light" w:hAnsi="Roboto Condensed Light" w:eastAsia="MS Mincho" w:cs="Times New Roman"/>
        </w:rPr>
        <w:t xml:space="preserve"> in the existing evidence base by conducting a research study to statistically analyse the levels and predictors of recidivism amongst</w:t>
      </w:r>
      <w:r>
        <w:rPr>
          <w:rFonts w:ascii="Roboto Condensed Light" w:hAnsi="Roboto Condensed Light" w:eastAsia="MS Mincho" w:cs="Times New Roman"/>
        </w:rPr>
        <w:t xml:space="preserve"> alleged</w:t>
      </w:r>
      <w:r w:rsidRPr="00F111D2">
        <w:rPr>
          <w:rFonts w:ascii="Roboto Condensed Light" w:hAnsi="Roboto Condensed Light" w:eastAsia="MS Mincho" w:cs="Times New Roman"/>
        </w:rPr>
        <w:t xml:space="preserve"> family violence perpetrators in Victoria (see State of Victoria, 2016</w:t>
      </w:r>
      <w:r>
        <w:rPr>
          <w:rFonts w:ascii="Roboto Condensed Light" w:hAnsi="Roboto Condensed Light" w:eastAsia="MS Mincho" w:cs="Times New Roman"/>
        </w:rPr>
        <w:t>b</w:t>
      </w:r>
      <w:r w:rsidRPr="00F111D2">
        <w:rPr>
          <w:rFonts w:ascii="Roboto Condensed Light" w:hAnsi="Roboto Condensed Light" w:eastAsia="MS Mincho" w:cs="Times New Roman"/>
        </w:rPr>
        <w:t>).</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The current study uses data recorded by Victoria Police on the L17 form to examine recorded recidivist family violence behaviour and to assess the utility of the L17 form in predicting recidivism. Specifically, this study aims to answer the following research questions:</w:t>
      </w:r>
    </w:p>
    <w:p w:rsidRPr="008A1281" w:rsidR="001B57E5" w:rsidP="001B57E5" w:rsidRDefault="001B57E5">
      <w:pPr>
        <w:pStyle w:val="ListParagraph"/>
        <w:widowControl w:val="false"/>
        <w:numPr>
          <w:ilvl w:val="0"/>
          <w:numId w:val="19"/>
        </w:numPr>
        <w:suppressAutoHyphens/>
        <w:autoSpaceDE w:val="false"/>
        <w:autoSpaceDN w:val="false"/>
        <w:adjustRightInd w:val="false"/>
        <w:spacing w:before="170" w:after="57" w:line="300" w:lineRule="atLeast"/>
        <w:ind w:left="714" w:hanging="357"/>
        <w:contextualSpacing w:val="false"/>
        <w:textAlignment w:val="center"/>
        <w:outlineLvl w:val="2"/>
        <w:rPr>
          <w:rFonts w:ascii="Roboto Condensed Light" w:hAnsi="Roboto Condensed Light" w:eastAsia="MS Mincho" w:cs="Times New Roman"/>
        </w:rPr>
      </w:pPr>
      <w:r w:rsidRPr="002F4381">
        <w:rPr>
          <w:rFonts w:ascii="Roboto Condensed Light" w:hAnsi="Roboto Condensed Light" w:eastAsia="MS Mincho" w:cs="Times New Roman"/>
        </w:rPr>
        <w:t>How many</w:t>
      </w:r>
      <w:r>
        <w:rPr>
          <w:rFonts w:ascii="Roboto Condensed Light" w:hAnsi="Roboto Condensed Light" w:eastAsia="MS Mincho" w:cs="Times New Roman"/>
        </w:rPr>
        <w:t xml:space="preserve"> alleged</w:t>
      </w:r>
      <w:r w:rsidRPr="002F4381">
        <w:rPr>
          <w:rFonts w:ascii="Roboto Condensed Light" w:hAnsi="Roboto Condensed Light" w:eastAsia="MS Mincho" w:cs="Times New Roman"/>
        </w:rPr>
        <w:t xml:space="preserve"> family violence perpetrators are recorded for more than one family incident? </w:t>
      </w:r>
    </w:p>
    <w:p w:rsidRPr="002F4381" w:rsidR="001B57E5" w:rsidP="001B57E5" w:rsidRDefault="001B57E5">
      <w:pPr>
        <w:pStyle w:val="ListParagraph"/>
        <w:widowControl w:val="false"/>
        <w:numPr>
          <w:ilvl w:val="0"/>
          <w:numId w:val="19"/>
        </w:numPr>
        <w:suppressAutoHyphens/>
        <w:autoSpaceDE w:val="false"/>
        <w:autoSpaceDN w:val="false"/>
        <w:adjustRightInd w:val="false"/>
        <w:spacing w:before="170" w:after="57" w:line="300" w:lineRule="atLeast"/>
        <w:ind w:left="714" w:hanging="357"/>
        <w:contextualSpacing w:val="false"/>
        <w:textAlignment w:val="center"/>
        <w:outlineLvl w:val="2"/>
        <w:rPr>
          <w:rFonts w:ascii="Roboto Condensed Light" w:hAnsi="Roboto Condensed Light" w:eastAsia="MS Mincho" w:cs="Times New Roman"/>
        </w:rPr>
      </w:pPr>
      <w:r w:rsidRPr="002F4381">
        <w:rPr>
          <w:rFonts w:ascii="Roboto Condensed Light" w:hAnsi="Roboto Condensed Light" w:eastAsia="MS Mincho" w:cs="Times New Roman"/>
        </w:rPr>
        <w:t>What are the differences between</w:t>
      </w:r>
      <w:r>
        <w:rPr>
          <w:rFonts w:ascii="Roboto Condensed Light" w:hAnsi="Roboto Condensed Light" w:eastAsia="MS Mincho" w:cs="Times New Roman"/>
        </w:rPr>
        <w:t xml:space="preserve"> alleged</w:t>
      </w:r>
      <w:r w:rsidRPr="002F4381">
        <w:rPr>
          <w:rFonts w:ascii="Roboto Condensed Light" w:hAnsi="Roboto Condensed Light" w:eastAsia="MS Mincho" w:cs="Times New Roman"/>
        </w:rPr>
        <w:t xml:space="preserve"> recidivist and non-recidivist perpetrators in terms of their characteristics, family violence histories and other risk factors? </w:t>
      </w:r>
    </w:p>
    <w:p w:rsidRPr="008A1281" w:rsidR="001B57E5" w:rsidP="001B57E5" w:rsidRDefault="001B57E5">
      <w:pPr>
        <w:pStyle w:val="ListParagraph"/>
        <w:widowControl w:val="false"/>
        <w:numPr>
          <w:ilvl w:val="0"/>
          <w:numId w:val="19"/>
        </w:numPr>
        <w:suppressAutoHyphens/>
        <w:autoSpaceDE w:val="false"/>
        <w:autoSpaceDN w:val="false"/>
        <w:adjustRightInd w:val="false"/>
        <w:spacing w:before="170" w:after="57" w:line="300" w:lineRule="atLeast"/>
        <w:ind w:left="714" w:hanging="357"/>
        <w:contextualSpacing w:val="false"/>
        <w:textAlignment w:val="center"/>
        <w:outlineLvl w:val="2"/>
        <w:rPr>
          <w:rFonts w:ascii="Roboto Condensed Light" w:hAnsi="Roboto Condensed Light" w:eastAsia="MS Mincho" w:cs="Times New Roman"/>
        </w:rPr>
      </w:pPr>
      <w:r w:rsidRPr="002F4381">
        <w:rPr>
          <w:rFonts w:ascii="Roboto Condensed Light" w:hAnsi="Roboto Condensed Light" w:eastAsia="MS Mincho" w:cs="Times New Roman"/>
        </w:rPr>
        <w:t xml:space="preserve">Is it possible to predict which </w:t>
      </w:r>
      <w:r>
        <w:rPr>
          <w:rFonts w:ascii="Roboto Condensed Light" w:hAnsi="Roboto Condensed Light" w:eastAsia="MS Mincho" w:cs="Times New Roman"/>
        </w:rPr>
        <w:t xml:space="preserve">alleged </w:t>
      </w:r>
      <w:r w:rsidRPr="002F4381">
        <w:rPr>
          <w:rFonts w:ascii="Roboto Condensed Light" w:hAnsi="Roboto Condensed Light" w:eastAsia="MS Mincho" w:cs="Times New Roman"/>
        </w:rPr>
        <w:t>perpetrators will have a recorded recidivism incident b</w:t>
      </w:r>
      <w:r>
        <w:rPr>
          <w:rFonts w:ascii="Roboto Condensed Light" w:hAnsi="Roboto Condensed Light" w:eastAsia="MS Mincho" w:cs="Times New Roman"/>
        </w:rPr>
        <w:t>ased on their characteristics,</w:t>
      </w:r>
      <w:r w:rsidRPr="002F4381">
        <w:rPr>
          <w:rFonts w:ascii="Roboto Condensed Light" w:hAnsi="Roboto Condensed Light" w:eastAsia="MS Mincho" w:cs="Times New Roman"/>
        </w:rPr>
        <w:t xml:space="preserve"> risk factors </w:t>
      </w:r>
      <w:r>
        <w:rPr>
          <w:rFonts w:ascii="Roboto Condensed Light" w:hAnsi="Roboto Condensed Light" w:eastAsia="MS Mincho" w:cs="Times New Roman"/>
        </w:rPr>
        <w:t xml:space="preserve">or other information </w:t>
      </w:r>
      <w:r w:rsidRPr="002F4381">
        <w:rPr>
          <w:rFonts w:ascii="Roboto Condensed Light" w:hAnsi="Roboto Condensed Light" w:eastAsia="MS Mincho" w:cs="Times New Roman"/>
        </w:rPr>
        <w:t xml:space="preserve">recorded by police at the first incident? </w:t>
      </w:r>
    </w:p>
    <w:p w:rsidRPr="00C30ED6"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T</w:t>
      </w:r>
      <w:r w:rsidRPr="00C30ED6">
        <w:rPr>
          <w:rFonts w:ascii="Roboto Condensed Light" w:hAnsi="Roboto Condensed Light" w:eastAsia="MS Mincho" w:cs="Times New Roman"/>
        </w:rPr>
        <w:t xml:space="preserve">his </w:t>
      </w:r>
      <w:r>
        <w:rPr>
          <w:rFonts w:ascii="Roboto Condensed Light" w:hAnsi="Roboto Condensed Light" w:eastAsia="MS Mincho" w:cs="Times New Roman"/>
        </w:rPr>
        <w:t xml:space="preserve">study </w:t>
      </w:r>
      <w:r w:rsidRPr="00C30ED6">
        <w:rPr>
          <w:rFonts w:ascii="Roboto Condensed Light" w:hAnsi="Roboto Condensed Light" w:eastAsia="MS Mincho" w:cs="Times New Roman"/>
        </w:rPr>
        <w:t xml:space="preserve">draws </w:t>
      </w:r>
      <w:r>
        <w:rPr>
          <w:rFonts w:ascii="Roboto Condensed Light" w:hAnsi="Roboto Condensed Light" w:eastAsia="MS Mincho" w:cs="Times New Roman"/>
        </w:rPr>
        <w:t xml:space="preserve">upon </w:t>
      </w:r>
      <w:r w:rsidRPr="00C30ED6">
        <w:rPr>
          <w:rFonts w:ascii="Roboto Condensed Light" w:hAnsi="Roboto Condensed Light" w:eastAsia="MS Mincho" w:cs="Times New Roman"/>
        </w:rPr>
        <w:t xml:space="preserve">on Victoria Police </w:t>
      </w:r>
      <w:r>
        <w:rPr>
          <w:rFonts w:ascii="Roboto Condensed Light" w:hAnsi="Roboto Condensed Light" w:eastAsia="MS Mincho" w:cs="Times New Roman"/>
        </w:rPr>
        <w:t xml:space="preserve">recorded family incident </w:t>
      </w:r>
      <w:r w:rsidRPr="00C30ED6">
        <w:rPr>
          <w:rFonts w:ascii="Roboto Condensed Light" w:hAnsi="Roboto Condensed Light" w:eastAsia="MS Mincho" w:cs="Times New Roman"/>
        </w:rPr>
        <w:t>data</w:t>
      </w:r>
      <w:r>
        <w:rPr>
          <w:rFonts w:ascii="Roboto Condensed Light" w:hAnsi="Roboto Condensed Light" w:eastAsia="MS Mincho" w:cs="Times New Roman"/>
        </w:rPr>
        <w:t xml:space="preserve"> only. However</w:t>
      </w:r>
      <w:r w:rsidRPr="00C30ED6">
        <w:rPr>
          <w:rFonts w:ascii="Roboto Condensed Light" w:hAnsi="Roboto Condensed Light" w:eastAsia="MS Mincho" w:cs="Times New Roman"/>
        </w:rPr>
        <w:t xml:space="preserve">, it </w:t>
      </w:r>
      <w:r>
        <w:rPr>
          <w:rFonts w:ascii="Roboto Condensed Light" w:hAnsi="Roboto Condensed Light" w:eastAsia="MS Mincho" w:cs="Times New Roman"/>
        </w:rPr>
        <w:t xml:space="preserve">should be </w:t>
      </w:r>
      <w:r w:rsidRPr="00C30ED6">
        <w:rPr>
          <w:rFonts w:ascii="Roboto Condensed Light" w:hAnsi="Roboto Condensed Light" w:eastAsia="MS Mincho" w:cs="Times New Roman"/>
        </w:rPr>
        <w:t xml:space="preserve">acknowledged that many family incidents </w:t>
      </w:r>
      <w:r>
        <w:rPr>
          <w:rFonts w:ascii="Roboto Condensed Light" w:hAnsi="Roboto Condensed Light" w:eastAsia="MS Mincho" w:cs="Times New Roman"/>
        </w:rPr>
        <w:t xml:space="preserve">never </w:t>
      </w:r>
      <w:r w:rsidRPr="00C30ED6">
        <w:rPr>
          <w:rFonts w:ascii="Roboto Condensed Light" w:hAnsi="Roboto Condensed Light" w:eastAsia="MS Mincho" w:cs="Times New Roman"/>
        </w:rPr>
        <w:t xml:space="preserve">come to the attention of police. There are also a wide range contextual factors that are not systematically recorded by police, but that impact on the frequency and seriousness of family incidents. Further, it should be noted that police recorded recidivism is just one of a variety of outcome indicators associated with family violence intervention policy and practice. While recidivism incidents are an adverse outcome to the extent that they indicate repetition of violent behaviour towards victims, they can also be interpreted as an indicator of increased victim willingness to contact police and/or police follow-up and involvement where there are ongoing concerns for victims’ safety. </w:t>
      </w:r>
    </w:p>
    <w:p w:rsidRPr="00CF36A5" w:rsidR="001B57E5" w:rsidP="001B57E5" w:rsidRDefault="001B57E5">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Roboto Light" w:hAnsi="Roboto Light" w:eastAsia="MS Mincho" w:cs="TradeGothic-Bold"/>
          <w:color w:val="808080"/>
          <w:sz w:val="26"/>
          <w:szCs w:val="26"/>
          <w:lang w:val="en-GB"/>
        </w:rPr>
      </w:pPr>
      <w:r w:rsidRPr="00CF36A5">
        <w:rPr>
          <w:rFonts w:ascii="Roboto Light" w:hAnsi="Roboto Light" w:eastAsia="MS Mincho" w:cs="TradeGothic-Bold"/>
          <w:color w:val="808080"/>
          <w:sz w:val="26"/>
          <w:szCs w:val="26"/>
          <w:lang w:val="en-GB"/>
        </w:rPr>
        <w:t>Method</w:t>
      </w:r>
    </w:p>
    <w:p w:rsidRPr="003B0BB2"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3B0BB2">
        <w:rPr>
          <w:rFonts w:ascii="Roboto Condensed Light" w:hAnsi="Roboto Condensed Light" w:eastAsia="MS Mincho" w:cs="Times New Roman"/>
        </w:rPr>
        <w:t xml:space="preserve">This study used data </w:t>
      </w:r>
      <w:r>
        <w:rPr>
          <w:rFonts w:ascii="Roboto Condensed Light" w:hAnsi="Roboto Condensed Light" w:eastAsia="MS Mincho" w:cs="Times New Roman"/>
        </w:rPr>
        <w:t xml:space="preserve">relating to </w:t>
      </w:r>
      <w:r w:rsidRPr="003B0BB2">
        <w:rPr>
          <w:rFonts w:ascii="Roboto Condensed Light" w:hAnsi="Roboto Condensed Light" w:eastAsia="MS Mincho" w:cs="Times New Roman"/>
        </w:rPr>
        <w:t>family incidents recorded by police from 1 July 2004 to 30 March 2015. This data includes all information recorded by police on the L17 form and lodged on Victoria Police’s Law Enforcement Assistance Program (LEAP) database. The Victoria Police Code of Practice for the Investigation of Family Violence states that police complete the form for all family incidents, interfamilial-related sexual offences and instances of child abuse reported to them, and that prior to leaving the scene of a family incident, police officers must collect ‘all the information needed to complete the Family Violence Risk Assessment and Risk Management Report</w:t>
      </w:r>
      <w:r>
        <w:rPr>
          <w:rFonts w:ascii="Roboto Condensed Light" w:hAnsi="Roboto Condensed Light" w:eastAsia="MS Mincho" w:cs="Times New Roman"/>
        </w:rPr>
        <w:t>’</w:t>
      </w:r>
      <w:r w:rsidRPr="003B0BB2">
        <w:rPr>
          <w:rFonts w:ascii="Roboto Condensed Light" w:hAnsi="Roboto Condensed Light" w:eastAsia="MS Mincho" w:cs="Times New Roman"/>
        </w:rPr>
        <w:t xml:space="preserve"> (</w:t>
      </w:r>
      <w:r w:rsidRPr="00F111D2">
        <w:rPr>
          <w:rFonts w:ascii="Roboto Condensed Light" w:hAnsi="Roboto Condensed Light" w:eastAsia="MS Mincho" w:cs="Times New Roman"/>
        </w:rPr>
        <w:t>Victoria Police, 2014: p.10).</w:t>
      </w:r>
      <w:r w:rsidRPr="003B0BB2">
        <w:rPr>
          <w:rFonts w:ascii="Roboto Condensed Light" w:hAnsi="Roboto Condensed Light" w:eastAsia="MS Mincho" w:cs="Times New Roman"/>
        </w:rPr>
        <w:t xml:space="preserve"> </w:t>
      </w:r>
    </w:p>
    <w:p w:rsidRPr="003B0BB2"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3B0BB2">
        <w:rPr>
          <w:rFonts w:ascii="Roboto Condensed Light" w:hAnsi="Roboto Condensed Light" w:eastAsia="MS Mincho" w:cs="Times New Roman"/>
        </w:rPr>
        <w:t xml:space="preserve">To identify patterns and predictors of recidivism, a cohort of </w:t>
      </w:r>
      <w:r>
        <w:rPr>
          <w:rFonts w:ascii="Roboto Condensed Light" w:hAnsi="Roboto Condensed Light" w:eastAsia="MS Mincho" w:cs="Times New Roman"/>
        </w:rPr>
        <w:t xml:space="preserve">alleged </w:t>
      </w:r>
      <w:r w:rsidRPr="003B0BB2">
        <w:rPr>
          <w:rFonts w:ascii="Roboto Condensed Light" w:hAnsi="Roboto Condensed Light" w:eastAsia="MS Mincho" w:cs="Times New Roman"/>
        </w:rPr>
        <w:t>perpetrators whose behaviour could be tracked over time within the dataset was selected. The cohort of all individuals who were recorded by police as perpetrating at least one family incident in the 2010</w:t>
      </w:r>
      <w:r>
        <w:rPr>
          <w:rFonts w:ascii="Roboto Condensed Light" w:hAnsi="Roboto Condensed Light" w:eastAsia="MS Mincho" w:cs="Times New Roman"/>
        </w:rPr>
        <w:t>–</w:t>
      </w:r>
      <w:r w:rsidRPr="003B0BB2">
        <w:rPr>
          <w:rFonts w:ascii="Roboto Condensed Light" w:hAnsi="Roboto Condensed Light" w:eastAsia="MS Mincho" w:cs="Times New Roman"/>
        </w:rPr>
        <w:t>11 financial year was selected for the purpose of this analysis. These are individuals who were recorded by police as “Other Parties” on at least one L17 form in 2010</w:t>
      </w:r>
      <w:r>
        <w:rPr>
          <w:rFonts w:ascii="Roboto Condensed Light" w:hAnsi="Roboto Condensed Light" w:eastAsia="MS Mincho" w:cs="Times New Roman"/>
        </w:rPr>
        <w:t>–</w:t>
      </w:r>
      <w:r w:rsidRPr="003B0BB2">
        <w:rPr>
          <w:rFonts w:ascii="Roboto Condensed Light" w:hAnsi="Roboto Condensed Light" w:eastAsia="MS Mincho" w:cs="Times New Roman"/>
        </w:rPr>
        <w:t xml:space="preserve">11. </w:t>
      </w:r>
      <w:r>
        <w:rPr>
          <w:rFonts w:ascii="Roboto Condensed Light" w:hAnsi="Roboto Condensed Light" w:eastAsia="MS Mincho" w:cs="Times New Roman"/>
        </w:rPr>
        <w:t>Selection of t</w:t>
      </w:r>
      <w:r w:rsidRPr="003B0BB2">
        <w:rPr>
          <w:rFonts w:ascii="Roboto Condensed Light" w:hAnsi="Roboto Condensed Light" w:eastAsia="MS Mincho" w:cs="Times New Roman"/>
        </w:rPr>
        <w:t xml:space="preserve">his cohort enabled analysis of recidivism behaviour for a minimum of three years and nine months for each perpetrator to the end of March 2015. In addition, selecting this cohort meant that the analysis could examine whether a perpetrator’s recorded historical family violence behaviour in prior years (between July 2004 and June 2010), impacted on their propensity to reappear in the dataset as a recidivist perpetrator. </w:t>
      </w:r>
    </w:p>
    <w:p w:rsidRPr="003B0BB2"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3B0BB2">
        <w:rPr>
          <w:rFonts w:ascii="Roboto Condensed Light" w:hAnsi="Roboto Condensed Light" w:eastAsia="MS Mincho" w:cs="Times New Roman"/>
        </w:rPr>
        <w:lastRenderedPageBreak/>
        <w:t>In this study a</w:t>
      </w:r>
      <w:r>
        <w:rPr>
          <w:rFonts w:ascii="Roboto Condensed Light" w:hAnsi="Roboto Condensed Light" w:eastAsia="MS Mincho" w:cs="Times New Roman"/>
        </w:rPr>
        <w:t>n alleged</w:t>
      </w:r>
      <w:r w:rsidRPr="003B0BB2">
        <w:rPr>
          <w:rFonts w:ascii="Roboto Condensed Light" w:hAnsi="Roboto Condensed Light" w:eastAsia="MS Mincho" w:cs="Times New Roman"/>
        </w:rPr>
        <w:t xml:space="preserve"> perpetrator’s </w:t>
      </w:r>
      <w:r w:rsidRPr="00CF5684">
        <w:rPr>
          <w:rFonts w:ascii="Roboto Condensed Light" w:hAnsi="Roboto Condensed Light" w:eastAsia="MS Mincho" w:cs="Times New Roman"/>
          <w:i/>
        </w:rPr>
        <w:t>index incident</w:t>
      </w:r>
      <w:r w:rsidRPr="003B0BB2">
        <w:rPr>
          <w:rFonts w:ascii="Roboto Condensed Light" w:hAnsi="Roboto Condensed Light" w:eastAsia="MS Mincho" w:cs="Times New Roman"/>
        </w:rPr>
        <w:t xml:space="preserve"> was defined as the first time they were recorded for a family incident by police on or after 1 July 2010. If a perpetrator was recorded for a further incident after their index incident but prior to 31 March 2015, they were considered to be a recidivist perpetrator, and this second incident was defined as their </w:t>
      </w:r>
      <w:r w:rsidRPr="00CF5684">
        <w:rPr>
          <w:rFonts w:ascii="Roboto Condensed Light" w:hAnsi="Roboto Condensed Light" w:eastAsia="MS Mincho" w:cs="Times New Roman"/>
          <w:i/>
        </w:rPr>
        <w:t>recidivism incident</w:t>
      </w:r>
      <w:r w:rsidRPr="003B0BB2">
        <w:rPr>
          <w:rFonts w:ascii="Roboto Condensed Light" w:hAnsi="Roboto Condensed Light" w:eastAsia="MS Mincho" w:cs="Times New Roman"/>
        </w:rPr>
        <w:t xml:space="preserve">. Any incidents recorded against perpetrators after their recidivism incident but prior to 31 March 2015 were defined as </w:t>
      </w:r>
      <w:r w:rsidRPr="00CF5684">
        <w:rPr>
          <w:rFonts w:ascii="Roboto Condensed Light" w:hAnsi="Roboto Condensed Light" w:eastAsia="MS Mincho" w:cs="Times New Roman"/>
          <w:i/>
        </w:rPr>
        <w:t>further incidents</w:t>
      </w:r>
      <w:r w:rsidRPr="003B0BB2">
        <w:rPr>
          <w:rFonts w:ascii="Roboto Condensed Light" w:hAnsi="Roboto Condensed Light" w:eastAsia="MS Mincho" w:cs="Times New Roman"/>
        </w:rPr>
        <w:t xml:space="preserve">. Figure </w:t>
      </w:r>
      <w:r>
        <w:rPr>
          <w:rFonts w:ascii="Roboto Condensed Light" w:hAnsi="Roboto Condensed Light" w:eastAsia="MS Mincho" w:cs="Times New Roman"/>
        </w:rPr>
        <w:t>1</w:t>
      </w:r>
      <w:r w:rsidRPr="003B0BB2">
        <w:rPr>
          <w:rFonts w:ascii="Roboto Condensed Light" w:hAnsi="Roboto Condensed Light" w:eastAsia="MS Mincho" w:cs="Times New Roman"/>
        </w:rPr>
        <w:t xml:space="preserve"> provides examples of how this methodology could apply to individual perpetrators.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3B0BB2">
        <w:rPr>
          <w:rFonts w:ascii="Roboto Condensed Light" w:hAnsi="Roboto Condensed Light" w:eastAsia="MS Mincho" w:cs="Times New Roman"/>
        </w:rPr>
        <w:t xml:space="preserve">For the purpose of this report, references to perpetrators and incidents refer to alleged rather than proven perpetrators and incidents. References to recorded offences arising from family incidents also refer to alleged rather than proven offences as the </w:t>
      </w:r>
      <w:r>
        <w:rPr>
          <w:rFonts w:ascii="Roboto Condensed Light" w:hAnsi="Roboto Condensed Light" w:eastAsia="MS Mincho" w:cs="Times New Roman"/>
        </w:rPr>
        <w:t xml:space="preserve">LEAP database </w:t>
      </w:r>
      <w:r w:rsidRPr="003B0BB2">
        <w:rPr>
          <w:rFonts w:ascii="Roboto Condensed Light" w:hAnsi="Roboto Condensed Light" w:eastAsia="MS Mincho" w:cs="Times New Roman"/>
        </w:rPr>
        <w:t xml:space="preserve">does not hold court outcome data regarding whether offences recorded by police went on to be proven in court. </w:t>
      </w:r>
    </w:p>
    <w:p w:rsidR="001B57E5" w:rsidP="001B57E5" w:rsidRDefault="001B57E5">
      <w:pPr>
        <w:pStyle w:val="TableHeading"/>
      </w:pPr>
      <w:r>
        <w:t>Figure 1: Methodology for identification of index and recidivism incidents</w:t>
      </w:r>
    </w:p>
    <w:p w:rsidR="001B57E5" w:rsidP="001B57E5" w:rsidRDefault="001B57E5">
      <w:pPr>
        <w:pStyle w:val="BodyTextSpaceAfter"/>
      </w:pPr>
      <w:r>
        <w:rPr>
          <w:noProof/>
          <w:lang w:val="en-AU" w:eastAsia="en-AU"/>
        </w:rPr>
        <w:drawing>
          <wp:inline distT="0" distB="0" distL="0" distR="0">
            <wp:extent cx="6124575" cy="2105025"/>
            <wp:effectExtent l="0" t="0" r="9525" b="952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Picture 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68"/>
                    <pic:cNvPicPr>
                      <a:picLocks noChangeAspect="true" noChangeArrowheads="true"/>
                    </pic:cNvPicPr>
                  </pic:nvPicPr>
                  <pic:blipFill>
                    <a:blip r:embed="rId7">
                      <a:extLst>
                        <a:ext uri="{28A0092B-C50C-407E-A947-70E740481C1C}">
                          <a14:useLocalDpi val="false"/>
                        </a:ext>
                      </a:extLst>
                    </a:blip>
                    <a:srcRect/>
                    <a:stretch>
                      <a:fillRect/>
                    </a:stretch>
                  </pic:blipFill>
                  <pic:spPr bwMode="auto">
                    <a:xfrm>
                      <a:off x="0" y="0"/>
                      <a:ext cx="6124575" cy="2105025"/>
                    </a:xfrm>
                    <a:prstGeom prst="rect">
                      <a:avLst/>
                    </a:prstGeom>
                    <a:noFill/>
                    <a:ln>
                      <a:noFill/>
                    </a:ln>
                  </pic:spPr>
                </pic:pic>
              </a:graphicData>
            </a:graphic>
          </wp:inline>
        </w:drawing>
      </w:r>
    </w:p>
    <w:p w:rsidR="001B57E5" w:rsidP="001B57E5" w:rsidRDefault="001B57E5">
      <w:pPr>
        <w:pStyle w:val="BodyTextSpaceAfter"/>
      </w:pPr>
      <w:r>
        <w:t xml:space="preserve">The dataset used for the recidivism analysis included alleged perpetrator characteristics, items related to perpetrators’ family violence histories, characteristics of perpetrators’ index incidents as recorded by police, and data relating to recidivism outcomes. A summary of the all of the data items included is provided in Table 2. </w:t>
      </w:r>
    </w:p>
    <w:p w:rsidR="001B57E5" w:rsidP="001B57E5" w:rsidRDefault="001B57E5">
      <w:pPr>
        <w:pStyle w:val="TableHeading"/>
      </w:pPr>
      <w:r>
        <w:t>Table 2: Data items</w:t>
      </w:r>
    </w:p>
    <w:tbl>
      <w:tblPr>
        <w:tblStyle w:val="TableGrid"/>
        <w:tblW w:w="0" w:type="auto"/>
        <w:tblLook w:firstRow="1" w:lastRow="0" w:firstColumn="1" w:lastColumn="0" w:noHBand="0" w:noVBand="1" w:val="04A0"/>
      </w:tblPr>
      <w:tblGrid>
        <w:gridCol w:w="2972"/>
        <w:gridCol w:w="6379"/>
      </w:tblGrid>
      <w:tr w:rsidR="001B57E5" w:rsidTr="00DC15CD">
        <w:trPr>
          <w:tblHeader/>
        </w:trPr>
        <w:tc>
          <w:tcPr>
            <w:tcW w:w="2972" w:type="dxa"/>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8A1281" w:rsidR="001B57E5" w:rsidP="00DC15CD" w:rsidRDefault="001B57E5">
            <w:pPr>
              <w:pStyle w:val="BodyTextSpaceAfter"/>
              <w:spacing w:after="0"/>
              <w:rPr>
                <w:color w:val="FFFFFF" w:themeColor="background1"/>
                <w:sz w:val="22"/>
                <w:szCs w:val="22"/>
              </w:rPr>
            </w:pPr>
            <w:r w:rsidRPr="00672D2B">
              <w:rPr>
                <w:color w:val="FFFFFF" w:themeColor="background1"/>
                <w:sz w:val="22"/>
                <w:szCs w:val="22"/>
              </w:rPr>
              <w:t>Category</w:t>
            </w:r>
          </w:p>
        </w:tc>
        <w:tc>
          <w:tcPr>
            <w:tcW w:w="6379" w:type="dxa"/>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8A1281" w:rsidR="001B57E5" w:rsidP="00DC15CD" w:rsidRDefault="001B57E5">
            <w:pPr>
              <w:pStyle w:val="BodyTextSpaceAfter"/>
              <w:spacing w:after="0"/>
              <w:rPr>
                <w:color w:val="FFFFFF" w:themeColor="background1"/>
                <w:sz w:val="22"/>
                <w:szCs w:val="22"/>
              </w:rPr>
            </w:pPr>
            <w:r w:rsidRPr="00672D2B">
              <w:rPr>
                <w:color w:val="FFFFFF" w:themeColor="background1"/>
                <w:sz w:val="22"/>
                <w:szCs w:val="22"/>
              </w:rPr>
              <w:t>Data items</w:t>
            </w:r>
          </w:p>
        </w:tc>
      </w:tr>
      <w:tr w:rsidR="001B57E5" w:rsidTr="00DC15CD">
        <w:tc>
          <w:tcPr>
            <w:tcW w:w="2972" w:type="dxa"/>
            <w:tcBorders>
              <w:top w:val="single" w:color="auto" w:sz="4" w:space="0"/>
              <w:left w:val="single" w:color="auto" w:sz="4" w:space="0"/>
              <w:bottom w:val="single" w:color="auto" w:sz="4" w:space="0"/>
              <w:right w:val="single" w:color="auto" w:sz="4" w:space="0"/>
            </w:tcBorders>
            <w:hideMark/>
          </w:tcPr>
          <w:p w:rsidRPr="008A1281" w:rsidR="001B57E5" w:rsidP="00DC15CD" w:rsidRDefault="001B57E5">
            <w:pPr>
              <w:pStyle w:val="BodyTextSpaceAfter"/>
              <w:spacing w:after="0"/>
              <w:rPr>
                <w:sz w:val="22"/>
                <w:szCs w:val="22"/>
              </w:rPr>
            </w:pPr>
            <w:r>
              <w:rPr>
                <w:sz w:val="22"/>
                <w:szCs w:val="22"/>
              </w:rPr>
              <w:t>Alleged p</w:t>
            </w:r>
            <w:r w:rsidRPr="00672D2B">
              <w:rPr>
                <w:sz w:val="22"/>
                <w:szCs w:val="22"/>
              </w:rPr>
              <w:t>erpetrator characteristics</w:t>
            </w:r>
          </w:p>
        </w:tc>
        <w:tc>
          <w:tcPr>
            <w:tcW w:w="6379" w:type="dxa"/>
            <w:tcBorders>
              <w:top w:val="single" w:color="auto" w:sz="4" w:space="0"/>
              <w:left w:val="single" w:color="auto" w:sz="4" w:space="0"/>
              <w:bottom w:val="single" w:color="auto" w:sz="4" w:space="0"/>
              <w:right w:val="single" w:color="auto" w:sz="4" w:space="0"/>
            </w:tcBorders>
          </w:tcPr>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Sex</w:t>
            </w:r>
          </w:p>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 xml:space="preserve">Age at time of index incident </w:t>
            </w:r>
          </w:p>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Relationship between perpetrator and victim</w:t>
            </w:r>
          </w:p>
          <w:p w:rsidRPr="008A1281" w:rsidR="001B57E5" w:rsidP="00DC15CD" w:rsidRDefault="001B57E5">
            <w:pPr>
              <w:pStyle w:val="BodyTextSpaceAfter"/>
              <w:spacing w:after="0"/>
              <w:rPr>
                <w:sz w:val="22"/>
                <w:szCs w:val="22"/>
              </w:rPr>
            </w:pPr>
          </w:p>
        </w:tc>
      </w:tr>
      <w:tr w:rsidR="001B57E5" w:rsidTr="00DC15CD">
        <w:tc>
          <w:tcPr>
            <w:tcW w:w="2972" w:type="dxa"/>
            <w:tcBorders>
              <w:top w:val="single" w:color="auto" w:sz="4" w:space="0"/>
              <w:left w:val="single" w:color="auto" w:sz="4" w:space="0"/>
              <w:bottom w:val="single" w:color="auto" w:sz="4" w:space="0"/>
              <w:right w:val="single" w:color="auto" w:sz="4" w:space="0"/>
            </w:tcBorders>
            <w:hideMark/>
          </w:tcPr>
          <w:p w:rsidRPr="008A1281" w:rsidR="001B57E5" w:rsidP="00DC15CD" w:rsidRDefault="001B57E5">
            <w:pPr>
              <w:pStyle w:val="BodyTextSpaceAfter"/>
              <w:spacing w:after="0"/>
              <w:rPr>
                <w:sz w:val="22"/>
                <w:szCs w:val="22"/>
              </w:rPr>
            </w:pPr>
            <w:r>
              <w:rPr>
                <w:sz w:val="22"/>
                <w:szCs w:val="22"/>
              </w:rPr>
              <w:t>Alleged p</w:t>
            </w:r>
            <w:r w:rsidRPr="00672D2B">
              <w:rPr>
                <w:sz w:val="22"/>
                <w:szCs w:val="22"/>
              </w:rPr>
              <w:t>erpetrator family incident history</w:t>
            </w:r>
          </w:p>
        </w:tc>
        <w:tc>
          <w:tcPr>
            <w:tcW w:w="6379" w:type="dxa"/>
            <w:tcBorders>
              <w:top w:val="single" w:color="auto" w:sz="4" w:space="0"/>
              <w:left w:val="single" w:color="auto" w:sz="4" w:space="0"/>
              <w:bottom w:val="single" w:color="auto" w:sz="4" w:space="0"/>
              <w:right w:val="single" w:color="auto" w:sz="4" w:space="0"/>
            </w:tcBorders>
          </w:tcPr>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 xml:space="preserve">Total number of recorded family </w:t>
            </w:r>
            <w:r>
              <w:rPr>
                <w:sz w:val="22"/>
                <w:szCs w:val="22"/>
              </w:rPr>
              <w:t xml:space="preserve">incidents prior to </w:t>
            </w:r>
            <w:r w:rsidRPr="00672D2B">
              <w:rPr>
                <w:sz w:val="22"/>
                <w:szCs w:val="22"/>
              </w:rPr>
              <w:t>July 1 2010</w:t>
            </w:r>
          </w:p>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Total number of breaches of family violence orders prior to      July 1 2010</w:t>
            </w:r>
          </w:p>
          <w:p w:rsidRPr="008A1281" w:rsidR="001B57E5" w:rsidP="00DC15CD" w:rsidRDefault="001B57E5">
            <w:pPr>
              <w:pStyle w:val="BodyTextSpaceAfter"/>
              <w:spacing w:after="0"/>
              <w:rPr>
                <w:sz w:val="22"/>
                <w:szCs w:val="22"/>
              </w:rPr>
            </w:pPr>
          </w:p>
        </w:tc>
      </w:tr>
      <w:tr w:rsidR="001B57E5" w:rsidTr="00DC15CD">
        <w:tc>
          <w:tcPr>
            <w:tcW w:w="2972" w:type="dxa"/>
            <w:tcBorders>
              <w:top w:val="single" w:color="auto" w:sz="4" w:space="0"/>
              <w:left w:val="single" w:color="auto" w:sz="4" w:space="0"/>
              <w:bottom w:val="single" w:color="auto" w:sz="4" w:space="0"/>
              <w:right w:val="single" w:color="auto" w:sz="4" w:space="0"/>
            </w:tcBorders>
            <w:hideMark/>
          </w:tcPr>
          <w:p w:rsidRPr="008A1281" w:rsidR="001B57E5" w:rsidP="00DC15CD" w:rsidRDefault="001B57E5">
            <w:pPr>
              <w:pStyle w:val="BodyTextSpaceAfter"/>
              <w:spacing w:after="0"/>
              <w:rPr>
                <w:sz w:val="22"/>
                <w:szCs w:val="22"/>
              </w:rPr>
            </w:pPr>
            <w:r w:rsidRPr="00672D2B">
              <w:rPr>
                <w:sz w:val="22"/>
                <w:szCs w:val="22"/>
              </w:rPr>
              <w:t>Characteristics of index incident</w:t>
            </w:r>
          </w:p>
        </w:tc>
        <w:tc>
          <w:tcPr>
            <w:tcW w:w="6379" w:type="dxa"/>
            <w:tcBorders>
              <w:top w:val="single" w:color="auto" w:sz="4" w:space="0"/>
              <w:left w:val="single" w:color="auto" w:sz="4" w:space="0"/>
              <w:bottom w:val="single" w:color="auto" w:sz="4" w:space="0"/>
              <w:right w:val="single" w:color="auto" w:sz="4" w:space="0"/>
            </w:tcBorders>
          </w:tcPr>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L17 Risk factors recorded by police at index incident</w:t>
            </w:r>
          </w:p>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Police assessment of overall risk of future violence (unlikely, likely)</w:t>
            </w:r>
          </w:p>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Victim fear level (not fearful, fearful, very fearful)</w:t>
            </w:r>
          </w:p>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Whether children were present at the index incident</w:t>
            </w:r>
          </w:p>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Whether presence of a disability was recorded at the index incident</w:t>
            </w:r>
          </w:p>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Actions recorded by police on the L17 form (including criminal, civil and referral actions)</w:t>
            </w:r>
          </w:p>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Recorded offences arising from the family incident</w:t>
            </w:r>
          </w:p>
          <w:p w:rsidRPr="008A1281" w:rsidR="001B57E5" w:rsidP="00DC15CD" w:rsidRDefault="001B57E5">
            <w:pPr>
              <w:pStyle w:val="BodyTextSpaceAfter"/>
              <w:spacing w:after="0"/>
              <w:rPr>
                <w:sz w:val="22"/>
                <w:szCs w:val="22"/>
              </w:rPr>
            </w:pPr>
          </w:p>
        </w:tc>
      </w:tr>
      <w:tr w:rsidR="001B57E5" w:rsidTr="00DC15CD">
        <w:tc>
          <w:tcPr>
            <w:tcW w:w="2972" w:type="dxa"/>
            <w:tcBorders>
              <w:top w:val="single" w:color="auto" w:sz="4" w:space="0"/>
              <w:left w:val="single" w:color="auto" w:sz="4" w:space="0"/>
              <w:bottom w:val="single" w:color="auto" w:sz="4" w:space="0"/>
              <w:right w:val="single" w:color="auto" w:sz="4" w:space="0"/>
            </w:tcBorders>
            <w:hideMark/>
          </w:tcPr>
          <w:p w:rsidRPr="008A1281" w:rsidR="001B57E5" w:rsidP="00DC15CD" w:rsidRDefault="001B57E5">
            <w:pPr>
              <w:pStyle w:val="BodyTextSpaceAfter"/>
              <w:spacing w:after="0"/>
              <w:rPr>
                <w:sz w:val="22"/>
                <w:szCs w:val="22"/>
              </w:rPr>
            </w:pPr>
            <w:r w:rsidRPr="00672D2B">
              <w:rPr>
                <w:sz w:val="22"/>
                <w:szCs w:val="22"/>
              </w:rPr>
              <w:t xml:space="preserve">Recidivism outcomes </w:t>
            </w:r>
          </w:p>
        </w:tc>
        <w:tc>
          <w:tcPr>
            <w:tcW w:w="6379" w:type="dxa"/>
            <w:tcBorders>
              <w:top w:val="single" w:color="auto" w:sz="4" w:space="0"/>
              <w:left w:val="single" w:color="auto" w:sz="4" w:space="0"/>
              <w:bottom w:val="single" w:color="auto" w:sz="4" w:space="0"/>
              <w:right w:val="single" w:color="auto" w:sz="4" w:space="0"/>
            </w:tcBorders>
          </w:tcPr>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Whether a perpetrator was recorded for a further incident</w:t>
            </w:r>
          </w:p>
          <w:p w:rsidRPr="008A1281" w:rsidR="001B57E5" w:rsidP="00DC15CD" w:rsidRDefault="001B57E5">
            <w:pPr>
              <w:pStyle w:val="BodyTextSpaceAfter"/>
              <w:numPr>
                <w:ilvl w:val="0"/>
                <w:numId w:val="16"/>
              </w:numPr>
              <w:spacing w:after="0"/>
              <w:textAlignment w:val="auto"/>
              <w:rPr>
                <w:sz w:val="22"/>
                <w:szCs w:val="22"/>
              </w:rPr>
            </w:pPr>
            <w:r w:rsidRPr="00672D2B">
              <w:rPr>
                <w:sz w:val="22"/>
                <w:szCs w:val="22"/>
              </w:rPr>
              <w:t>Total number of recorded recidivism and further incidents</w:t>
            </w:r>
          </w:p>
          <w:p w:rsidRPr="008A1281" w:rsidR="001B57E5" w:rsidP="00DC15CD" w:rsidRDefault="001B57E5">
            <w:pPr>
              <w:pStyle w:val="BodyTextSpaceAfter"/>
              <w:spacing w:after="0"/>
              <w:ind w:left="360"/>
              <w:textAlignment w:val="auto"/>
              <w:rPr>
                <w:sz w:val="22"/>
                <w:szCs w:val="22"/>
              </w:rPr>
            </w:pPr>
          </w:p>
        </w:tc>
      </w:tr>
    </w:tbl>
    <w:p w:rsidRPr="00CF36A5"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r>
        <w:rPr>
          <w:rFonts w:ascii="Roboto Condensed Light" w:hAnsi="Roboto Condensed Light" w:eastAsia="MS Mincho" w:cs="Times New Roman"/>
          <w:b/>
        </w:rPr>
        <w:t>Statistical analysis</w:t>
      </w:r>
    </w:p>
    <w:p w:rsidRPr="00CC2C23"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CC2C23">
        <w:rPr>
          <w:rFonts w:ascii="Roboto Condensed Light" w:hAnsi="Roboto Condensed Light" w:eastAsia="MS Mincho" w:cs="Times New Roman"/>
        </w:rPr>
        <w:t xml:space="preserve">Chi-square analyses (indicated by the symbol: </w:t>
      </w:r>
      <w:r>
        <w:t>χ</w:t>
      </w:r>
      <w:r>
        <w:rPr>
          <w:vertAlign w:val="superscript"/>
        </w:rPr>
        <w:t>2</w:t>
      </w:r>
      <w:r w:rsidRPr="00CC2C23">
        <w:rPr>
          <w:rFonts w:ascii="Roboto Condensed Light" w:hAnsi="Roboto Condensed Light" w:eastAsia="MS Mincho" w:cs="Times New Roman"/>
        </w:rPr>
        <w:t xml:space="preserve">) were used to examine whether there were bivariate relationships between potential predictors of recidivism (including </w:t>
      </w:r>
      <w:r>
        <w:rPr>
          <w:rFonts w:ascii="Roboto Condensed Light" w:hAnsi="Roboto Condensed Light" w:eastAsia="MS Mincho" w:cs="Times New Roman"/>
        </w:rPr>
        <w:t xml:space="preserve">alleged </w:t>
      </w:r>
      <w:r w:rsidRPr="00CC2C23">
        <w:rPr>
          <w:rFonts w:ascii="Roboto Condensed Light" w:hAnsi="Roboto Condensed Light" w:eastAsia="MS Mincho" w:cs="Times New Roman"/>
        </w:rPr>
        <w:t xml:space="preserve">perpetrator characteristics, perpetrators’ recorded family violence histories and/or the characteristics of their index incident), and whether or not </w:t>
      </w:r>
      <w:r>
        <w:rPr>
          <w:rFonts w:ascii="Roboto Condensed Light" w:hAnsi="Roboto Condensed Light" w:eastAsia="MS Mincho" w:cs="Times New Roman"/>
        </w:rPr>
        <w:t xml:space="preserve">a recidivism </w:t>
      </w:r>
      <w:r w:rsidRPr="00CC2C23">
        <w:rPr>
          <w:rFonts w:ascii="Roboto Condensed Light" w:hAnsi="Roboto Condensed Light" w:eastAsia="MS Mincho" w:cs="Times New Roman"/>
        </w:rPr>
        <w:t>incident</w:t>
      </w:r>
      <w:r>
        <w:rPr>
          <w:rFonts w:ascii="Roboto Condensed Light" w:hAnsi="Roboto Condensed Light" w:eastAsia="MS Mincho" w:cs="Times New Roman"/>
        </w:rPr>
        <w:t xml:space="preserve"> was recorded</w:t>
      </w:r>
      <w:r w:rsidRPr="00CC2C23">
        <w:rPr>
          <w:rFonts w:ascii="Roboto Condensed Light" w:hAnsi="Roboto Condensed Light" w:eastAsia="MS Mincho" w:cs="Times New Roman"/>
        </w:rPr>
        <w:t xml:space="preserve">. Where the significance level (indicated by the symbol </w:t>
      </w:r>
      <w:r w:rsidRPr="00CC2C23">
        <w:rPr>
          <w:rFonts w:ascii="Roboto Condensed Light" w:hAnsi="Roboto Condensed Light" w:eastAsia="MS Mincho" w:cs="Times New Roman"/>
          <w:i/>
        </w:rPr>
        <w:t>p</w:t>
      </w:r>
      <w:r w:rsidRPr="00CC2C23">
        <w:rPr>
          <w:rFonts w:ascii="Roboto Condensed Light" w:hAnsi="Roboto Condensed Light" w:eastAsia="MS Mincho" w:cs="Times New Roman"/>
        </w:rPr>
        <w:t xml:space="preserve">) is less than .05, this indicates that there was a statistically significant relationship between the predictor variable being tested and recidivism. The closer the significance level is to zero, the less likely it is that the results of the statistical test presented could have occurred by chance, or conversely, the more likely it is that the results represent true relationships between factors tested and recidivism in the population, as opposed to random variation in the data. </w:t>
      </w:r>
    </w:p>
    <w:p w:rsidRPr="00CC2C23"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CC2C23">
        <w:rPr>
          <w:rFonts w:ascii="Roboto Condensed Light" w:hAnsi="Roboto Condensed Light" w:eastAsia="MS Mincho" w:cs="Times New Roman"/>
        </w:rPr>
        <w:t xml:space="preserve">Following these initial chi-square analyses, potential predictors that had a statistically significant bivariate relationship with recidivism (at the </w:t>
      </w:r>
      <w:r w:rsidRPr="00CC2C23">
        <w:rPr>
          <w:rFonts w:ascii="Roboto Condensed Light" w:hAnsi="Roboto Condensed Light" w:eastAsia="MS Mincho" w:cs="Times New Roman"/>
          <w:i/>
        </w:rPr>
        <w:t>p</w:t>
      </w:r>
      <w:r w:rsidRPr="00CC2C23">
        <w:rPr>
          <w:rFonts w:ascii="Roboto Condensed Light" w:hAnsi="Roboto Condensed Light" w:eastAsia="MS Mincho" w:cs="Times New Roman"/>
        </w:rPr>
        <w:t xml:space="preserve">&lt;.05 level) were included in a logistic regression model. This overall model was used to determine which combination of explanatory factors is most useful in determining whether or not someone will be recorded for a recidivism incident, and how likely it is that this combination of factors will correctly identify recidivist and non-recidivist perpetrators. </w:t>
      </w:r>
    </w:p>
    <w:p w:rsidRPr="00BC6081" w:rsidR="001B57E5" w:rsidP="001B57E5" w:rsidRDefault="001B57E5">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Roboto Light" w:hAnsi="Roboto Light" w:eastAsia="MS Mincho" w:cs="TradeGothic-Bold"/>
          <w:color w:val="808080"/>
          <w:sz w:val="26"/>
          <w:szCs w:val="26"/>
          <w:lang w:val="en-GB"/>
        </w:rPr>
      </w:pPr>
      <w:r w:rsidRPr="00BC6081">
        <w:rPr>
          <w:rFonts w:ascii="Roboto Light" w:hAnsi="Roboto Light" w:eastAsia="MS Mincho" w:cs="TradeGothic-Bold"/>
          <w:color w:val="808080"/>
          <w:sz w:val="26"/>
          <w:szCs w:val="26"/>
          <w:lang w:val="en-GB"/>
        </w:rPr>
        <w:t xml:space="preserve">Results </w:t>
      </w:r>
    </w:p>
    <w:p w:rsidRPr="00813994"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r>
        <w:rPr>
          <w:rFonts w:ascii="Roboto Condensed Light" w:hAnsi="Roboto Condensed Light" w:eastAsia="MS Mincho" w:cs="Times New Roman"/>
          <w:b/>
        </w:rPr>
        <w:t>Alleged perpetrator characteristics</w:t>
      </w:r>
    </w:p>
    <w:p w:rsidRPr="008A1281"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CC2C23">
        <w:rPr>
          <w:rFonts w:ascii="Roboto Condensed Light" w:hAnsi="Roboto Condensed Light" w:eastAsia="MS Mincho" w:cs="Times New Roman"/>
        </w:rPr>
        <w:t>A total of 30,695 unique perpetrators were recorded by police for at least one family incident in 2010</w:t>
      </w:r>
      <w:r>
        <w:rPr>
          <w:rFonts w:ascii="Roboto Condensed Light" w:hAnsi="Roboto Condensed Light" w:eastAsia="MS Mincho" w:cs="Times New Roman"/>
        </w:rPr>
        <w:t>–</w:t>
      </w:r>
      <w:r w:rsidRPr="00CC2C23">
        <w:rPr>
          <w:rFonts w:ascii="Roboto Condensed Light" w:hAnsi="Roboto Condensed Light" w:eastAsia="MS Mincho" w:cs="Times New Roman"/>
        </w:rPr>
        <w:t>11, though not all data items were recorded for every perpetrator or every index incident. Of those where</w:t>
      </w:r>
      <w:r>
        <w:rPr>
          <w:rFonts w:ascii="Roboto Condensed Light" w:hAnsi="Roboto Condensed Light" w:eastAsia="MS Mincho" w:cs="Times New Roman"/>
        </w:rPr>
        <w:t xml:space="preserve"> the</w:t>
      </w:r>
      <w:r w:rsidRPr="00CC2C23">
        <w:rPr>
          <w:rFonts w:ascii="Roboto Condensed Light" w:hAnsi="Roboto Condensed Light" w:eastAsia="MS Mincho" w:cs="Times New Roman"/>
        </w:rPr>
        <w:t xml:space="preserve"> sex of the perpetrator was recorded (n=30,562), 77% (n=23,427) were male and 23% (n=7,135) were female. The median age of perpetrators at the time of their index incident was 34 years old, and the mean age was 34.29 (SD=12.52).</w:t>
      </w:r>
      <w:r>
        <w:rPr>
          <w:rFonts w:ascii="Roboto Condensed Light" w:hAnsi="Roboto Condensed Light" w:eastAsia="MS Mincho" w:cs="Times New Roman"/>
        </w:rPr>
        <w:t xml:space="preserve"> </w:t>
      </w:r>
      <w:r w:rsidRPr="00CC2C23">
        <w:rPr>
          <w:rFonts w:ascii="Roboto Condensed Light" w:hAnsi="Roboto Condensed Light" w:eastAsia="MS Mincho" w:cs="Times New Roman"/>
        </w:rPr>
        <w:t>Relationship between perpetrator and victim was recorded for the majority (89% or 27,</w:t>
      </w:r>
      <w:r>
        <w:rPr>
          <w:rFonts w:ascii="Roboto Condensed Light" w:hAnsi="Roboto Condensed Light" w:eastAsia="MS Mincho" w:cs="Times New Roman"/>
        </w:rPr>
        <w:t>296</w:t>
      </w:r>
      <w:r w:rsidRPr="00CC2C23">
        <w:rPr>
          <w:rFonts w:ascii="Roboto Condensed Light" w:hAnsi="Roboto Condensed Light" w:eastAsia="MS Mincho" w:cs="Times New Roman"/>
        </w:rPr>
        <w:t>) of index incid</w:t>
      </w:r>
      <w:r>
        <w:rPr>
          <w:rFonts w:ascii="Roboto Condensed Light" w:hAnsi="Roboto Condensed Light" w:eastAsia="MS Mincho" w:cs="Times New Roman"/>
        </w:rPr>
        <w:t>e</w:t>
      </w:r>
      <w:r w:rsidRPr="00CC2C23">
        <w:rPr>
          <w:rFonts w:ascii="Roboto Condensed Light" w:hAnsi="Roboto Condensed Light" w:eastAsia="MS Mincho" w:cs="Times New Roman"/>
        </w:rPr>
        <w:t xml:space="preserve">nts. Overall, for 65% </w:t>
      </w:r>
      <w:r>
        <w:rPr>
          <w:rFonts w:ascii="Roboto Condensed Light" w:hAnsi="Roboto Condensed Light" w:eastAsia="MS Mincho" w:cs="Times New Roman"/>
        </w:rPr>
        <w:t>(</w:t>
      </w:r>
      <w:r w:rsidRPr="009D2D6A">
        <w:rPr>
          <w:rFonts w:ascii="Roboto Condensed Light" w:hAnsi="Roboto Condensed Light" w:eastAsia="MS Mincho" w:cs="Times New Roman"/>
        </w:rPr>
        <w:t>n=17,771</w:t>
      </w:r>
      <w:r>
        <w:rPr>
          <w:rFonts w:ascii="Roboto Condensed Light" w:hAnsi="Roboto Condensed Light" w:eastAsia="MS Mincho" w:cs="Times New Roman"/>
        </w:rPr>
        <w:t xml:space="preserve">) </w:t>
      </w:r>
      <w:r w:rsidRPr="00CC2C23">
        <w:rPr>
          <w:rFonts w:ascii="Roboto Condensed Light" w:hAnsi="Roboto Condensed Light" w:eastAsia="MS Mincho" w:cs="Times New Roman"/>
        </w:rPr>
        <w:t xml:space="preserve">of those incidents the type of relationship between perpetrator and victim was current or former partner and for 35% </w:t>
      </w:r>
      <w:r>
        <w:rPr>
          <w:rFonts w:ascii="Roboto Condensed Light" w:hAnsi="Roboto Condensed Light" w:eastAsia="MS Mincho" w:cs="Times New Roman"/>
        </w:rPr>
        <w:t>(</w:t>
      </w:r>
      <w:r w:rsidRPr="009D2D6A">
        <w:rPr>
          <w:rFonts w:ascii="Roboto Condensed Light" w:hAnsi="Roboto Condensed Light" w:eastAsia="MS Mincho" w:cs="Times New Roman"/>
        </w:rPr>
        <w:t>n=</w:t>
      </w:r>
      <w:r w:rsidRPr="008A1281">
        <w:rPr>
          <w:rFonts w:ascii="Roboto Condensed Light" w:hAnsi="Roboto Condensed Light" w:eastAsia="MS Mincho" w:cs="Times New Roman"/>
        </w:rPr>
        <w:t>9,525</w:t>
      </w:r>
      <w:r>
        <w:rPr>
          <w:rFonts w:ascii="Roboto Condensed Light" w:hAnsi="Roboto Condensed Light" w:eastAsia="MS Mincho" w:cs="Times New Roman"/>
        </w:rPr>
        <w:t xml:space="preserve">) </w:t>
      </w:r>
      <w:r w:rsidRPr="00CC2C23">
        <w:rPr>
          <w:rFonts w:ascii="Roboto Condensed Light" w:hAnsi="Roboto Condensed Light" w:eastAsia="MS Mincho" w:cs="Times New Roman"/>
        </w:rPr>
        <w:t xml:space="preserve">the type of relationship was other family member.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r>
        <w:rPr>
          <w:rFonts w:ascii="Roboto Condensed Light" w:hAnsi="Roboto Condensed Light" w:eastAsia="MS Mincho" w:cs="Times New Roman"/>
          <w:b/>
        </w:rPr>
        <w:t>Alleged perpetrators’ recorded family violence histories</w:t>
      </w:r>
    </w:p>
    <w:p w:rsidRPr="00CC2C23"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Over half of the</w:t>
      </w:r>
      <w:r w:rsidRPr="00CC2C23">
        <w:rPr>
          <w:rFonts w:ascii="Roboto Condensed Light" w:hAnsi="Roboto Condensed Light" w:eastAsia="MS Mincho" w:cs="Times New Roman"/>
        </w:rPr>
        <w:t xml:space="preserve"> perpetrators </w:t>
      </w:r>
      <w:r>
        <w:rPr>
          <w:rFonts w:ascii="Roboto Condensed Light" w:hAnsi="Roboto Condensed Light" w:eastAsia="MS Mincho" w:cs="Times New Roman"/>
        </w:rPr>
        <w:t xml:space="preserve">recorded for an index incident </w:t>
      </w:r>
      <w:r w:rsidRPr="00CC2C23">
        <w:rPr>
          <w:rFonts w:ascii="Roboto Condensed Light" w:hAnsi="Roboto Condensed Light" w:eastAsia="MS Mincho" w:cs="Times New Roman"/>
        </w:rPr>
        <w:t>(6</w:t>
      </w:r>
      <w:r>
        <w:rPr>
          <w:rFonts w:ascii="Roboto Condensed Light" w:hAnsi="Roboto Condensed Light" w:eastAsia="MS Mincho" w:cs="Times New Roman"/>
        </w:rPr>
        <w:t>1</w:t>
      </w:r>
      <w:r w:rsidRPr="00CC2C23">
        <w:rPr>
          <w:rFonts w:ascii="Roboto Condensed Light" w:hAnsi="Roboto Condensed Light" w:eastAsia="MS Mincho" w:cs="Times New Roman"/>
        </w:rPr>
        <w:t xml:space="preserve">%, n=18,598) did not have a prior family incident recorded by police. However, 17% (n=5,135) had one prior incident recorded and a further 13% (n=3,965) had two or three prior incidents recorded. </w:t>
      </w:r>
      <w:r>
        <w:rPr>
          <w:rFonts w:ascii="Roboto Condensed Light" w:hAnsi="Roboto Condensed Light" w:eastAsia="MS Mincho" w:cs="Times New Roman"/>
        </w:rPr>
        <w:t xml:space="preserve">The remaining </w:t>
      </w:r>
      <w:r w:rsidRPr="008A1281">
        <w:rPr>
          <w:rFonts w:ascii="Roboto Condensed Light" w:hAnsi="Roboto Condensed Light" w:eastAsia="MS Mincho" w:cs="Times New Roman"/>
        </w:rPr>
        <w:t>10</w:t>
      </w:r>
      <w:r w:rsidRPr="009D2D6A">
        <w:rPr>
          <w:rFonts w:ascii="Roboto Condensed Light" w:hAnsi="Roboto Condensed Light" w:eastAsia="MS Mincho" w:cs="Times New Roman"/>
        </w:rPr>
        <w:t>% (n=</w:t>
      </w:r>
      <w:r w:rsidRPr="008A1281">
        <w:rPr>
          <w:rFonts w:ascii="Roboto Condensed Light" w:hAnsi="Roboto Condensed Light" w:eastAsia="MS Mincho" w:cs="Times New Roman"/>
        </w:rPr>
        <w:t>2,997</w:t>
      </w:r>
      <w:r w:rsidRPr="009D2D6A">
        <w:rPr>
          <w:rFonts w:ascii="Roboto Condensed Light" w:hAnsi="Roboto Condensed Light" w:eastAsia="MS Mincho" w:cs="Times New Roman"/>
        </w:rPr>
        <w:t>)</w:t>
      </w:r>
      <w:r>
        <w:rPr>
          <w:rFonts w:ascii="Roboto Condensed Light" w:hAnsi="Roboto Condensed Light" w:eastAsia="MS Mincho" w:cs="Times New Roman"/>
        </w:rPr>
        <w:t xml:space="preserve"> had more than three incidents recorded. </w:t>
      </w:r>
      <w:r w:rsidRPr="00CC2C23">
        <w:rPr>
          <w:rFonts w:ascii="Roboto Condensed Light" w:hAnsi="Roboto Condensed Light" w:eastAsia="MS Mincho" w:cs="Times New Roman"/>
        </w:rPr>
        <w:t xml:space="preserve">These prior incidents did not necessarily relate to the same victims. </w:t>
      </w:r>
    </w:p>
    <w:p w:rsidRPr="00CC2C23"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CC2C23">
        <w:rPr>
          <w:rFonts w:ascii="Roboto Condensed Light" w:hAnsi="Roboto Condensed Light" w:eastAsia="MS Mincho" w:cs="Times New Roman"/>
        </w:rPr>
        <w:t xml:space="preserve">Data relating to recorded offences for breaches of family violence intervention </w:t>
      </w:r>
      <w:r>
        <w:rPr>
          <w:rFonts w:ascii="Roboto Condensed Light" w:hAnsi="Roboto Condensed Light" w:eastAsia="MS Mincho" w:cs="Times New Roman"/>
        </w:rPr>
        <w:t>orders (dating back to the 2004–</w:t>
      </w:r>
      <w:r w:rsidRPr="00CC2C23">
        <w:rPr>
          <w:rFonts w:ascii="Roboto Condensed Light" w:hAnsi="Roboto Condensed Light" w:eastAsia="MS Mincho" w:cs="Times New Roman"/>
        </w:rPr>
        <w:t xml:space="preserve">05 financial year) prior to the index incident </w:t>
      </w:r>
      <w:r>
        <w:rPr>
          <w:rFonts w:ascii="Roboto Condensed Light" w:hAnsi="Roboto Condensed Light" w:eastAsia="MS Mincho" w:cs="Times New Roman"/>
        </w:rPr>
        <w:t xml:space="preserve">date </w:t>
      </w:r>
      <w:r w:rsidRPr="00CC2C23">
        <w:rPr>
          <w:rFonts w:ascii="Roboto Condensed Light" w:hAnsi="Roboto Condensed Light" w:eastAsia="MS Mincho" w:cs="Times New Roman"/>
        </w:rPr>
        <w:t>was also extracted. Again, these orders were not necessarily related to the victim involved in the index incident. Nevertheless, 91% (n=27,843) of perpetrators had no prior recorded breaches of family violence orders, 7% (n=2,087) had one prior breach of a family violence order and 2% (n=765) had two or more breaches of family violence orders.</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r>
        <w:rPr>
          <w:rFonts w:ascii="Roboto Condensed Light" w:hAnsi="Roboto Condensed Light" w:eastAsia="MS Mincho" w:cs="Times New Roman"/>
          <w:b/>
        </w:rPr>
        <w:t>Index incident characteristics</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 xml:space="preserve">L17 </w:t>
      </w:r>
      <w:r w:rsidRPr="00F111D2">
        <w:rPr>
          <w:rFonts w:ascii="Roboto Condensed Light" w:hAnsi="Roboto Condensed Light" w:eastAsia="MS Mincho" w:cs="Times New Roman"/>
        </w:rPr>
        <w:t>r</w:t>
      </w:r>
      <w:r w:rsidRPr="00E004D1">
        <w:rPr>
          <w:rFonts w:ascii="Roboto Condensed Light" w:hAnsi="Roboto Condensed Light" w:eastAsia="MS Mincho" w:cs="Times New Roman"/>
        </w:rPr>
        <w:t xml:space="preserve">isk factors </w:t>
      </w:r>
      <w:r>
        <w:rPr>
          <w:rFonts w:ascii="Roboto Condensed Light" w:hAnsi="Roboto Condensed Light" w:eastAsia="MS Mincho" w:cs="Times New Roman"/>
        </w:rPr>
        <w:t xml:space="preserve">are completed by police officers using checkboxes, and the majority of these </w:t>
      </w:r>
      <w:r w:rsidRPr="00E004D1">
        <w:rPr>
          <w:rFonts w:ascii="Roboto Condensed Light" w:hAnsi="Roboto Condensed Light" w:eastAsia="MS Mincho" w:cs="Times New Roman"/>
        </w:rPr>
        <w:t xml:space="preserve">were only </w:t>
      </w:r>
      <w:r>
        <w:rPr>
          <w:rFonts w:ascii="Roboto Condensed Light" w:hAnsi="Roboto Condensed Light" w:eastAsia="MS Mincho" w:cs="Times New Roman"/>
        </w:rPr>
        <w:t>checked</w:t>
      </w:r>
      <w:r w:rsidRPr="00E004D1">
        <w:rPr>
          <w:rFonts w:ascii="Roboto Condensed Light" w:hAnsi="Roboto Condensed Light" w:eastAsia="MS Mincho" w:cs="Times New Roman"/>
        </w:rPr>
        <w:t xml:space="preserve"> for a very small proportion of index incidents. </w:t>
      </w:r>
      <w:r>
        <w:rPr>
          <w:rFonts w:ascii="Roboto Condensed Light" w:hAnsi="Roboto Condensed Light" w:eastAsia="MS Mincho" w:cs="Times New Roman"/>
        </w:rPr>
        <w:t>T</w:t>
      </w:r>
      <w:r w:rsidRPr="00E004D1">
        <w:rPr>
          <w:rFonts w:ascii="Roboto Condensed Light" w:hAnsi="Roboto Condensed Light" w:eastAsia="MS Mincho" w:cs="Times New Roman"/>
        </w:rPr>
        <w:t>he majority of incidents</w:t>
      </w:r>
      <w:r>
        <w:rPr>
          <w:rFonts w:ascii="Roboto Condensed Light" w:hAnsi="Roboto Condensed Light" w:eastAsia="MS Mincho" w:cs="Times New Roman"/>
        </w:rPr>
        <w:t xml:space="preserve"> (70%; n=21,500)</w:t>
      </w:r>
      <w:r w:rsidRPr="00E004D1">
        <w:rPr>
          <w:rFonts w:ascii="Roboto Condensed Light" w:hAnsi="Roboto Condensed Light" w:eastAsia="MS Mincho" w:cs="Times New Roman"/>
        </w:rPr>
        <w:t xml:space="preserve"> across all relationship types had between one and four risk factors recorded</w:t>
      </w:r>
      <w:r>
        <w:rPr>
          <w:rFonts w:ascii="Roboto Condensed Light" w:hAnsi="Roboto Condensed Light" w:eastAsia="MS Mincho" w:cs="Times New Roman"/>
        </w:rPr>
        <w:t xml:space="preserve"> out of a possible 33 risk factors.</w:t>
      </w:r>
      <w:r w:rsidRPr="00E004D1">
        <w:rPr>
          <w:rFonts w:ascii="Roboto Condensed Light" w:hAnsi="Roboto Condensed Light" w:eastAsia="MS Mincho" w:cs="Times New Roman"/>
        </w:rPr>
        <w:t xml:space="preserve"> </w:t>
      </w:r>
      <w:r>
        <w:rPr>
          <w:rFonts w:ascii="Roboto Condensed Light" w:hAnsi="Roboto Condensed Light" w:eastAsia="MS Mincho" w:cs="Times New Roman"/>
        </w:rPr>
        <w:t xml:space="preserve">A </w:t>
      </w:r>
      <w:r w:rsidRPr="00E004D1">
        <w:rPr>
          <w:rFonts w:ascii="Roboto Condensed Light" w:hAnsi="Roboto Condensed Light" w:eastAsia="MS Mincho" w:cs="Times New Roman"/>
        </w:rPr>
        <w:t xml:space="preserve">slightly higher proportion of incidents between those who were separated </w:t>
      </w:r>
      <w:r>
        <w:rPr>
          <w:rFonts w:ascii="Roboto Condensed Light" w:hAnsi="Roboto Condensed Light" w:eastAsia="MS Mincho" w:cs="Times New Roman"/>
        </w:rPr>
        <w:t xml:space="preserve">(20%; n=683) </w:t>
      </w:r>
      <w:r w:rsidRPr="00E004D1">
        <w:rPr>
          <w:rFonts w:ascii="Roboto Condensed Light" w:hAnsi="Roboto Condensed Light" w:eastAsia="MS Mincho" w:cs="Times New Roman"/>
        </w:rPr>
        <w:t xml:space="preserve">or in a de facto relationship </w:t>
      </w:r>
      <w:r>
        <w:rPr>
          <w:rFonts w:ascii="Roboto Condensed Light" w:hAnsi="Roboto Condensed Light" w:eastAsia="MS Mincho" w:cs="Times New Roman"/>
        </w:rPr>
        <w:t xml:space="preserve">(21%; n=1,373), compared with other relationship types, </w:t>
      </w:r>
      <w:r w:rsidRPr="00E004D1">
        <w:rPr>
          <w:rFonts w:ascii="Roboto Condensed Light" w:hAnsi="Roboto Condensed Light" w:eastAsia="MS Mincho" w:cs="Times New Roman"/>
        </w:rPr>
        <w:t>had five or more risk factors recorded at the index incident.</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E004D1">
        <w:rPr>
          <w:rFonts w:ascii="Roboto Condensed Light" w:hAnsi="Roboto Condensed Light" w:eastAsia="MS Mincho" w:cs="Times New Roman"/>
        </w:rPr>
        <w:t>Children were recorded by police as being present at 36% (n=10,945) of index incidents, and police noted the presence of a disability in 3% (n=761) of incidents, though the L17 form d</w:t>
      </w:r>
      <w:r>
        <w:rPr>
          <w:rFonts w:ascii="Roboto Condensed Light" w:hAnsi="Roboto Condensed Light" w:eastAsia="MS Mincho" w:cs="Times New Roman"/>
        </w:rPr>
        <w:t>i</w:t>
      </w:r>
      <w:r w:rsidRPr="00E004D1">
        <w:rPr>
          <w:rFonts w:ascii="Roboto Condensed Light" w:hAnsi="Roboto Condensed Light" w:eastAsia="MS Mincho" w:cs="Times New Roman"/>
        </w:rPr>
        <w:t>d not require police officers to specify whether the victim, the perpetrator or a child present at the time of the incident had a disability. Victim fear level at the time of the incident was recorded for the majority of index incidents (94% or 28,962). Where this was recorded, 61% (n=17,652) were recorded as ‘not fearful’, 29% (n=8,299) were recorded as ‘fearful’, and 10% (n=3,011) were recorded as ‘very fearful’. Police also provided an overall risk assessment for 65% (n=19,901) of all index incidents. They assessed the overall risk of further violence as likely for 48% (n=9,465) of those index incidents and as unlikely for the remaining 52% (n=10,436) of incidents.</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r>
        <w:rPr>
          <w:rFonts w:ascii="Roboto Condensed Light" w:hAnsi="Roboto Condensed Light" w:eastAsia="MS Mincho" w:cs="Times New Roman"/>
          <w:b/>
        </w:rPr>
        <w:t>Police actions</w:t>
      </w:r>
    </w:p>
    <w:p w:rsidRPr="00E004D1"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E004D1">
        <w:rPr>
          <w:rFonts w:ascii="Roboto Condensed Light" w:hAnsi="Roboto Condensed Light" w:eastAsia="MS Mincho" w:cs="Times New Roman"/>
        </w:rPr>
        <w:t xml:space="preserve">In addition to indicating which risk factors were present at an incident, police officers can </w:t>
      </w:r>
      <w:r>
        <w:rPr>
          <w:rFonts w:ascii="Roboto Condensed Light" w:hAnsi="Roboto Condensed Light" w:eastAsia="MS Mincho" w:cs="Times New Roman"/>
        </w:rPr>
        <w:t>select, again using checkboxes on the L17 form,</w:t>
      </w:r>
      <w:r w:rsidRPr="00E004D1">
        <w:rPr>
          <w:rFonts w:ascii="Roboto Condensed Light" w:hAnsi="Roboto Condensed Light" w:eastAsia="MS Mincho" w:cs="Times New Roman"/>
        </w:rPr>
        <w:t xml:space="preserve"> which criminal, civil, referral or other actions they took or intended to take as a result of the family incident</w:t>
      </w:r>
      <w:r>
        <w:rPr>
          <w:rFonts w:ascii="Roboto Condensed Light" w:hAnsi="Roboto Condensed Light" w:eastAsia="MS Mincho" w:cs="Times New Roman"/>
        </w:rPr>
        <w:t>.</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E004D1">
        <w:rPr>
          <w:rFonts w:ascii="Roboto Condensed Light" w:hAnsi="Roboto Condensed Light" w:eastAsia="MS Mincho" w:cs="Times New Roman"/>
        </w:rPr>
        <w:t>In total, 7% (n=2,049) of index incidents did not have any police action recorded. Referral actions were most frequently recorded, with 88% (n=27,058) of incidents recorded as having at least one referral action. Though police recorded taking criminal action for only 17% (n=5,163) of incidents, police offence records arising from these index incidents indicate that criminal offences were actually recorded as a result of 30% (n=9,331) of incidents. While these criminal offences are alleged rather than proven, this may indicate that police criminal actions arising as a result of this cohorts’ index incidents were underreported on the L17 form.</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 xml:space="preserve">Where an offence was recorded arising from a family incident, the most commonly recorded principal offence—the most serious offence recorded for the incident, as defined by the CSA’s offence </w:t>
      </w:r>
      <w:r w:rsidRPr="00F111D2">
        <w:rPr>
          <w:rFonts w:ascii="Roboto Condensed Light" w:hAnsi="Roboto Condensed Light" w:eastAsia="MS Mincho" w:cs="Times New Roman"/>
        </w:rPr>
        <w:t>index (Crime Statistics Agency, 2015)—was assault</w:t>
      </w:r>
      <w:r>
        <w:rPr>
          <w:rFonts w:ascii="Roboto Condensed Light" w:hAnsi="Roboto Condensed Light" w:eastAsia="MS Mincho" w:cs="Times New Roman"/>
        </w:rPr>
        <w:t xml:space="preserve">, which accounted for 65% (n=6,022) of all recorded offences.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r>
        <w:rPr>
          <w:rFonts w:ascii="Roboto Condensed Light" w:hAnsi="Roboto Condensed Light" w:eastAsia="MS Mincho" w:cs="Times New Roman"/>
          <w:b/>
        </w:rPr>
        <w:t>Overall recidivism rates</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E84C7C">
        <w:rPr>
          <w:rFonts w:ascii="Roboto Condensed Light" w:hAnsi="Roboto Condensed Light" w:eastAsia="MS Mincho" w:cs="Times New Roman"/>
        </w:rPr>
        <w:t>Overall, just over half (51%, n=15,611) of all perpetrators recorded for at least one incident in 2010</w:t>
      </w:r>
      <w:r>
        <w:rPr>
          <w:rFonts w:ascii="Roboto Condensed Light" w:hAnsi="Roboto Condensed Light" w:eastAsia="MS Mincho" w:cs="Times New Roman"/>
        </w:rPr>
        <w:t>–</w:t>
      </w:r>
      <w:r w:rsidRPr="00E84C7C">
        <w:rPr>
          <w:rFonts w:ascii="Roboto Condensed Light" w:hAnsi="Roboto Condensed Light" w:eastAsia="MS Mincho" w:cs="Times New Roman"/>
        </w:rPr>
        <w:t>11 were recorded for a further family incident between the time of their index incident and the end of March 2015, and 49% (n=15,084) were not recorded f</w:t>
      </w:r>
      <w:r>
        <w:rPr>
          <w:rFonts w:ascii="Roboto Condensed Light" w:hAnsi="Roboto Condensed Light" w:eastAsia="MS Mincho" w:cs="Times New Roman"/>
        </w:rPr>
        <w:t xml:space="preserve">or a further incident. </w:t>
      </w:r>
      <w:r w:rsidRPr="00E84C7C">
        <w:rPr>
          <w:rFonts w:ascii="Roboto Condensed Light" w:hAnsi="Roboto Condensed Light" w:eastAsia="MS Mincho" w:cs="Times New Roman"/>
        </w:rPr>
        <w:t xml:space="preserve">The median number of </w:t>
      </w:r>
      <w:r>
        <w:rPr>
          <w:rFonts w:ascii="Roboto Condensed Light" w:hAnsi="Roboto Condensed Light" w:eastAsia="MS Mincho" w:cs="Times New Roman"/>
        </w:rPr>
        <w:t xml:space="preserve">further incidents </w:t>
      </w:r>
      <w:r w:rsidRPr="00E84C7C">
        <w:rPr>
          <w:rFonts w:ascii="Roboto Condensed Light" w:hAnsi="Roboto Condensed Light" w:eastAsia="MS Mincho" w:cs="Times New Roman"/>
        </w:rPr>
        <w:t xml:space="preserve">amongst recidivist perpetrators who did have a recidivism incident was two and the mean number of </w:t>
      </w:r>
      <w:r>
        <w:rPr>
          <w:rFonts w:ascii="Roboto Condensed Light" w:hAnsi="Roboto Condensed Light" w:eastAsia="MS Mincho" w:cs="Times New Roman"/>
        </w:rPr>
        <w:t xml:space="preserve">further incidents </w:t>
      </w:r>
      <w:r w:rsidRPr="00E84C7C">
        <w:rPr>
          <w:rFonts w:ascii="Roboto Condensed Light" w:hAnsi="Roboto Condensed Light" w:eastAsia="MS Mincho" w:cs="Times New Roman"/>
        </w:rPr>
        <w:t>was 3.35 (SD=3.43).</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r>
        <w:rPr>
          <w:rFonts w:ascii="Roboto Condensed Light" w:hAnsi="Roboto Condensed Light" w:eastAsia="MS Mincho" w:cs="Times New Roman"/>
          <w:b/>
        </w:rPr>
        <w:t>Recidivism by alleged perpetrator and index incident characteristics</w:t>
      </w:r>
    </w:p>
    <w:p w:rsidRPr="00E84C7C"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E84C7C">
        <w:rPr>
          <w:rFonts w:ascii="Roboto Condensed Light" w:hAnsi="Roboto Condensed Light" w:eastAsia="MS Mincho" w:cs="Times New Roman"/>
        </w:rPr>
        <w:t xml:space="preserve">Significant </w:t>
      </w:r>
      <w:r>
        <w:rPr>
          <w:rFonts w:ascii="Roboto Condensed Light" w:hAnsi="Roboto Condensed Light" w:eastAsia="MS Mincho" w:cs="Times New Roman"/>
        </w:rPr>
        <w:t xml:space="preserve">bivariate </w:t>
      </w:r>
      <w:r w:rsidRPr="00E84C7C">
        <w:rPr>
          <w:rFonts w:ascii="Roboto Condensed Light" w:hAnsi="Roboto Condensed Light" w:eastAsia="MS Mincho" w:cs="Times New Roman"/>
        </w:rPr>
        <w:t>relationships were found between all of the perpetrator characteristics analysed</w:t>
      </w:r>
      <w:r>
        <w:rPr>
          <w:rFonts w:ascii="Roboto Condensed Light" w:hAnsi="Roboto Condensed Light" w:eastAsia="MS Mincho" w:cs="Times New Roman"/>
        </w:rPr>
        <w:t xml:space="preserve">—sex, age at index incident, relationship between victim and perpetrator, </w:t>
      </w:r>
      <w:r w:rsidRPr="00B17AAF">
        <w:rPr>
          <w:rFonts w:ascii="Roboto Condensed Light" w:hAnsi="Roboto Condensed Light" w:eastAsia="MS Mincho" w:cs="Times New Roman"/>
        </w:rPr>
        <w:t>perpetrator’s number of recorded prior family incidents, and whether the perpetrator has prior recorded breaches of family violence orders—</w:t>
      </w:r>
      <w:r w:rsidRPr="00E84C7C">
        <w:rPr>
          <w:rFonts w:ascii="Roboto Condensed Light" w:hAnsi="Roboto Condensed Light" w:eastAsia="MS Mincho" w:cs="Times New Roman"/>
        </w:rPr>
        <w:t xml:space="preserve">and recidivism. Specifically, the nature of these relationships was that: </w:t>
      </w:r>
    </w:p>
    <w:p w:rsidRPr="00E84C7C" w:rsidR="001B57E5" w:rsidP="001B57E5" w:rsidRDefault="001B57E5">
      <w:pPr>
        <w:pStyle w:val="ListParagraph"/>
        <w:widowControl w:val="false"/>
        <w:numPr>
          <w:ilvl w:val="0"/>
          <w:numId w:val="16"/>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E84C7C">
        <w:rPr>
          <w:rFonts w:ascii="Roboto Condensed Light" w:hAnsi="Roboto Condensed Light" w:eastAsia="MS Mincho" w:cs="Times New Roman"/>
        </w:rPr>
        <w:t>Males were more likely to be recorded for a recidivism incident: they made up 81%</w:t>
      </w:r>
      <w:r>
        <w:rPr>
          <w:rFonts w:ascii="Roboto Condensed Light" w:hAnsi="Roboto Condensed Light" w:eastAsia="MS Mincho" w:cs="Times New Roman"/>
        </w:rPr>
        <w:t xml:space="preserve"> (n=12,687)</w:t>
      </w:r>
      <w:r w:rsidRPr="00E84C7C">
        <w:rPr>
          <w:rFonts w:ascii="Roboto Condensed Light" w:hAnsi="Roboto Condensed Light" w:eastAsia="MS Mincho" w:cs="Times New Roman"/>
        </w:rPr>
        <w:t xml:space="preserve"> of those recorded for a recidivism incident compared with only 72% </w:t>
      </w:r>
      <w:r>
        <w:rPr>
          <w:rFonts w:ascii="Roboto Condensed Light" w:hAnsi="Roboto Condensed Light" w:eastAsia="MS Mincho" w:cs="Times New Roman"/>
        </w:rPr>
        <w:t xml:space="preserve">(n=10,740) </w:t>
      </w:r>
      <w:r w:rsidRPr="00E84C7C">
        <w:rPr>
          <w:rFonts w:ascii="Roboto Condensed Light" w:hAnsi="Roboto Condensed Light" w:eastAsia="MS Mincho" w:cs="Times New Roman"/>
        </w:rPr>
        <w:t xml:space="preserve">of those not recorded for a recidivism incident. </w:t>
      </w:r>
    </w:p>
    <w:p w:rsidRPr="00E84C7C" w:rsidR="001B57E5" w:rsidP="001B57E5" w:rsidRDefault="001B57E5">
      <w:pPr>
        <w:pStyle w:val="ListParagraph"/>
        <w:widowControl w:val="false"/>
        <w:numPr>
          <w:ilvl w:val="0"/>
          <w:numId w:val="16"/>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E84C7C">
        <w:rPr>
          <w:rFonts w:ascii="Roboto Condensed Light" w:hAnsi="Roboto Condensed Light" w:eastAsia="MS Mincho" w:cs="Times New Roman"/>
        </w:rPr>
        <w:t xml:space="preserve">People aged 34 </w:t>
      </w:r>
      <w:r>
        <w:rPr>
          <w:rFonts w:ascii="Roboto Condensed Light" w:hAnsi="Roboto Condensed Light" w:eastAsia="MS Mincho" w:cs="Times New Roman"/>
        </w:rPr>
        <w:t xml:space="preserve">or younger (58%; n=8,809) </w:t>
      </w:r>
      <w:r w:rsidRPr="00E84C7C">
        <w:rPr>
          <w:rFonts w:ascii="Roboto Condensed Light" w:hAnsi="Roboto Condensed Light" w:eastAsia="MS Mincho" w:cs="Times New Roman"/>
        </w:rPr>
        <w:t xml:space="preserve">at the time of their index incident were more likely to be recorded for a recidivism incident, whereas people aged 45 or older </w:t>
      </w:r>
      <w:r>
        <w:rPr>
          <w:rFonts w:ascii="Roboto Condensed Light" w:hAnsi="Roboto Condensed Light" w:eastAsia="MS Mincho" w:cs="Times New Roman"/>
        </w:rPr>
        <w:t xml:space="preserve">(14%; n=2,200) </w:t>
      </w:r>
      <w:r w:rsidRPr="00E84C7C">
        <w:rPr>
          <w:rFonts w:ascii="Roboto Condensed Light" w:hAnsi="Roboto Condensed Light" w:eastAsia="MS Mincho" w:cs="Times New Roman"/>
        </w:rPr>
        <w:t xml:space="preserve">were less likely to be recorded for a recidivism incident. </w:t>
      </w:r>
    </w:p>
    <w:p w:rsidRPr="00E84C7C" w:rsidR="001B57E5" w:rsidP="001B57E5" w:rsidRDefault="001B57E5">
      <w:pPr>
        <w:pStyle w:val="ListParagraph"/>
        <w:widowControl w:val="false"/>
        <w:numPr>
          <w:ilvl w:val="0"/>
          <w:numId w:val="16"/>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E84C7C">
        <w:rPr>
          <w:rFonts w:ascii="Roboto Condensed Light" w:hAnsi="Roboto Condensed Light" w:eastAsia="MS Mincho" w:cs="Times New Roman"/>
        </w:rPr>
        <w:t>A higher proportion of perpetrators were recorded for recidivism incidents where the relationship type between perpetrator and victim was de facto (2</w:t>
      </w:r>
      <w:r>
        <w:rPr>
          <w:rFonts w:ascii="Roboto Condensed Light" w:hAnsi="Roboto Condensed Light" w:eastAsia="MS Mincho" w:cs="Times New Roman"/>
        </w:rPr>
        <w:t>5</w:t>
      </w:r>
      <w:r w:rsidRPr="00E84C7C">
        <w:rPr>
          <w:rFonts w:ascii="Roboto Condensed Light" w:hAnsi="Roboto Condensed Light" w:eastAsia="MS Mincho" w:cs="Times New Roman"/>
        </w:rPr>
        <w:t xml:space="preserve">% </w:t>
      </w:r>
      <w:r>
        <w:rPr>
          <w:rFonts w:ascii="Roboto Condensed Light" w:hAnsi="Roboto Condensed Light" w:eastAsia="MS Mincho" w:cs="Times New Roman"/>
        </w:rPr>
        <w:t xml:space="preserve">[n=3,821] </w:t>
      </w:r>
      <w:r w:rsidRPr="00E84C7C">
        <w:rPr>
          <w:rFonts w:ascii="Roboto Condensed Light" w:hAnsi="Roboto Condensed Light" w:eastAsia="MS Mincho" w:cs="Times New Roman"/>
        </w:rPr>
        <w:t>of recidivist perpetrators</w:t>
      </w:r>
      <w:r>
        <w:rPr>
          <w:rFonts w:ascii="Roboto Condensed Light" w:hAnsi="Roboto Condensed Light" w:eastAsia="MS Mincho" w:cs="Times New Roman"/>
        </w:rPr>
        <w:t xml:space="preserve"> </w:t>
      </w:r>
      <w:r w:rsidRPr="00E84C7C">
        <w:rPr>
          <w:rFonts w:ascii="Roboto Condensed Light" w:hAnsi="Roboto Condensed Light" w:eastAsia="MS Mincho" w:cs="Times New Roman"/>
        </w:rPr>
        <w:t>compared to 17%</w:t>
      </w:r>
      <w:r>
        <w:rPr>
          <w:rFonts w:ascii="Roboto Condensed Light" w:hAnsi="Roboto Condensed Light" w:eastAsia="MS Mincho" w:cs="Times New Roman"/>
        </w:rPr>
        <w:t xml:space="preserve"> [n=2,569]</w:t>
      </w:r>
      <w:r w:rsidRPr="00E84C7C">
        <w:rPr>
          <w:rFonts w:ascii="Roboto Condensed Light" w:hAnsi="Roboto Condensed Light" w:eastAsia="MS Mincho" w:cs="Times New Roman"/>
        </w:rPr>
        <w:t xml:space="preserve"> of non-recidivist perpetrators) or boyfriend/girlfriend (10%</w:t>
      </w:r>
      <w:r>
        <w:rPr>
          <w:rFonts w:ascii="Roboto Condensed Light" w:hAnsi="Roboto Condensed Light" w:eastAsia="MS Mincho" w:cs="Times New Roman"/>
        </w:rPr>
        <w:t xml:space="preserve"> [n=1,555]</w:t>
      </w:r>
      <w:r w:rsidRPr="00E84C7C">
        <w:rPr>
          <w:rFonts w:ascii="Roboto Condensed Light" w:hAnsi="Roboto Condensed Light" w:eastAsia="MS Mincho" w:cs="Times New Roman"/>
        </w:rPr>
        <w:t xml:space="preserve"> of recidivist perpetrators compared to 8%</w:t>
      </w:r>
      <w:r>
        <w:rPr>
          <w:rFonts w:ascii="Roboto Condensed Light" w:hAnsi="Roboto Condensed Light" w:eastAsia="MS Mincho" w:cs="Times New Roman"/>
        </w:rPr>
        <w:t xml:space="preserve"> [n=1,288]</w:t>
      </w:r>
      <w:r w:rsidRPr="00E84C7C">
        <w:rPr>
          <w:rFonts w:ascii="Roboto Condensed Light" w:hAnsi="Roboto Condensed Light" w:eastAsia="MS Mincho" w:cs="Times New Roman"/>
        </w:rPr>
        <w:t xml:space="preserve"> of non-recidivist perpetrators). Where the relationship was divorced, married or other family member, perpetrators were less likely to be recorded for a recidivism incident. </w:t>
      </w:r>
    </w:p>
    <w:p w:rsidRPr="00E84C7C" w:rsidR="001B57E5" w:rsidP="001B57E5" w:rsidRDefault="001B57E5">
      <w:pPr>
        <w:pStyle w:val="ListParagraph"/>
        <w:widowControl w:val="false"/>
        <w:numPr>
          <w:ilvl w:val="0"/>
          <w:numId w:val="16"/>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E84C7C">
        <w:rPr>
          <w:rFonts w:ascii="Roboto Condensed Light" w:hAnsi="Roboto Condensed Light" w:eastAsia="MS Mincho" w:cs="Times New Roman"/>
        </w:rPr>
        <w:t xml:space="preserve">Perpetrators who had previously been recorded for family incidents were more likely to be recorded for a recidivism incident. Those recorded for one or two prior incidents made up 31% </w:t>
      </w:r>
      <w:r>
        <w:rPr>
          <w:rFonts w:ascii="Roboto Condensed Light" w:hAnsi="Roboto Condensed Light" w:eastAsia="MS Mincho" w:cs="Times New Roman"/>
        </w:rPr>
        <w:t xml:space="preserve">(n=4,769) </w:t>
      </w:r>
      <w:r w:rsidRPr="00E84C7C">
        <w:rPr>
          <w:rFonts w:ascii="Roboto Condensed Light" w:hAnsi="Roboto Condensed Light" w:eastAsia="MS Mincho" w:cs="Times New Roman"/>
        </w:rPr>
        <w:t>of recidivist perpetrators compared with 19%</w:t>
      </w:r>
      <w:r>
        <w:rPr>
          <w:rFonts w:ascii="Roboto Condensed Light" w:hAnsi="Roboto Condensed Light" w:eastAsia="MS Mincho" w:cs="Times New Roman"/>
        </w:rPr>
        <w:t xml:space="preserve"> (n=2,891)</w:t>
      </w:r>
      <w:r w:rsidRPr="00E84C7C">
        <w:rPr>
          <w:rFonts w:ascii="Roboto Condensed Light" w:hAnsi="Roboto Condensed Light" w:eastAsia="MS Mincho" w:cs="Times New Roman"/>
        </w:rPr>
        <w:t xml:space="preserve"> of non-recidivist perpetrators, and those recorded for three or more prior incidents made up 23%</w:t>
      </w:r>
      <w:r>
        <w:rPr>
          <w:rFonts w:ascii="Roboto Condensed Light" w:hAnsi="Roboto Condensed Light" w:eastAsia="MS Mincho" w:cs="Times New Roman"/>
        </w:rPr>
        <w:t xml:space="preserve"> (n=3,584)</w:t>
      </w:r>
      <w:r w:rsidRPr="00E84C7C">
        <w:rPr>
          <w:rFonts w:ascii="Roboto Condensed Light" w:hAnsi="Roboto Condensed Light" w:eastAsia="MS Mincho" w:cs="Times New Roman"/>
        </w:rPr>
        <w:t xml:space="preserve"> of recidivist perpetrators compared with just 6%</w:t>
      </w:r>
      <w:r>
        <w:rPr>
          <w:rFonts w:ascii="Roboto Condensed Light" w:hAnsi="Roboto Condensed Light" w:eastAsia="MS Mincho" w:cs="Times New Roman"/>
        </w:rPr>
        <w:t xml:space="preserve"> (n=853)</w:t>
      </w:r>
      <w:r w:rsidRPr="00E84C7C">
        <w:rPr>
          <w:rFonts w:ascii="Roboto Condensed Light" w:hAnsi="Roboto Condensed Light" w:eastAsia="MS Mincho" w:cs="Times New Roman"/>
        </w:rPr>
        <w:t xml:space="preserve"> of non-recidivist perpetrators. On the other hand those with no prior recorded incidents made up 76%</w:t>
      </w:r>
      <w:r>
        <w:rPr>
          <w:rFonts w:ascii="Roboto Condensed Light" w:hAnsi="Roboto Condensed Light" w:eastAsia="MS Mincho" w:cs="Times New Roman"/>
        </w:rPr>
        <w:t xml:space="preserve"> (n=11,540)</w:t>
      </w:r>
      <w:r w:rsidRPr="00E84C7C">
        <w:rPr>
          <w:rFonts w:ascii="Roboto Condensed Light" w:hAnsi="Roboto Condensed Light" w:eastAsia="MS Mincho" w:cs="Times New Roman"/>
        </w:rPr>
        <w:t xml:space="preserve"> of non-recidivist perpetrators and 46%</w:t>
      </w:r>
      <w:r>
        <w:rPr>
          <w:rFonts w:ascii="Roboto Condensed Light" w:hAnsi="Roboto Condensed Light" w:eastAsia="MS Mincho" w:cs="Times New Roman"/>
        </w:rPr>
        <w:t xml:space="preserve"> (n=7,058)</w:t>
      </w:r>
      <w:r w:rsidRPr="00E84C7C">
        <w:rPr>
          <w:rFonts w:ascii="Roboto Condensed Light" w:hAnsi="Roboto Condensed Light" w:eastAsia="MS Mincho" w:cs="Times New Roman"/>
        </w:rPr>
        <w:t xml:space="preserve"> of recidivist perpetrators. </w:t>
      </w:r>
    </w:p>
    <w:p w:rsidRPr="00E84C7C" w:rsidR="001B57E5" w:rsidP="001B57E5" w:rsidRDefault="001B57E5">
      <w:pPr>
        <w:pStyle w:val="ListParagraph"/>
        <w:widowControl w:val="false"/>
        <w:numPr>
          <w:ilvl w:val="0"/>
          <w:numId w:val="16"/>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E84C7C">
        <w:rPr>
          <w:rFonts w:ascii="Roboto Condensed Light" w:hAnsi="Roboto Condensed Light" w:eastAsia="MS Mincho" w:cs="Times New Roman"/>
        </w:rPr>
        <w:t xml:space="preserve">Perpetrators who </w:t>
      </w:r>
      <w:r>
        <w:rPr>
          <w:rFonts w:ascii="Roboto Condensed Light" w:hAnsi="Roboto Condensed Light" w:eastAsia="MS Mincho" w:cs="Times New Roman"/>
        </w:rPr>
        <w:t xml:space="preserve">had been </w:t>
      </w:r>
      <w:r w:rsidRPr="00E84C7C">
        <w:rPr>
          <w:rFonts w:ascii="Roboto Condensed Light" w:hAnsi="Roboto Condensed Light" w:eastAsia="MS Mincho" w:cs="Times New Roman"/>
        </w:rPr>
        <w:t>recorded for a breach of a family violence order prior to their index incident were more likely to be recorded for a recidivism incident. They made up 14%</w:t>
      </w:r>
      <w:r>
        <w:rPr>
          <w:rFonts w:ascii="Roboto Condensed Light" w:hAnsi="Roboto Condensed Light" w:eastAsia="MS Mincho" w:cs="Times New Roman"/>
        </w:rPr>
        <w:t xml:space="preserve"> (n=2,220)</w:t>
      </w:r>
      <w:r w:rsidRPr="00E84C7C">
        <w:rPr>
          <w:rFonts w:ascii="Roboto Condensed Light" w:hAnsi="Roboto Condensed Light" w:eastAsia="MS Mincho" w:cs="Times New Roman"/>
        </w:rPr>
        <w:t xml:space="preserve"> of recidivist perpetrators compared with just 4% </w:t>
      </w:r>
      <w:r>
        <w:rPr>
          <w:rFonts w:ascii="Roboto Condensed Light" w:hAnsi="Roboto Condensed Light" w:eastAsia="MS Mincho" w:cs="Times New Roman"/>
        </w:rPr>
        <w:t xml:space="preserve">(n=632) </w:t>
      </w:r>
      <w:r w:rsidRPr="00E84C7C">
        <w:rPr>
          <w:rFonts w:ascii="Roboto Condensed Light" w:hAnsi="Roboto Condensed Light" w:eastAsia="MS Mincho" w:cs="Times New Roman"/>
        </w:rPr>
        <w:t xml:space="preserve">of non-recidivist perpetrators. </w:t>
      </w:r>
    </w:p>
    <w:p w:rsidRPr="00341E10"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A</w:t>
      </w:r>
      <w:r w:rsidRPr="00341E10">
        <w:rPr>
          <w:rFonts w:ascii="Roboto Condensed Light" w:hAnsi="Roboto Condensed Light" w:eastAsia="MS Mincho" w:cs="Times New Roman"/>
        </w:rPr>
        <w:t xml:space="preserve">ll of </w:t>
      </w:r>
      <w:r>
        <w:rPr>
          <w:rFonts w:ascii="Roboto Condensed Light" w:hAnsi="Roboto Condensed Light" w:eastAsia="MS Mincho" w:cs="Times New Roman"/>
        </w:rPr>
        <w:t xml:space="preserve">the recorded index incident </w:t>
      </w:r>
      <w:r w:rsidRPr="00341E10">
        <w:rPr>
          <w:rFonts w:ascii="Roboto Condensed Light" w:hAnsi="Roboto Condensed Light" w:eastAsia="MS Mincho" w:cs="Times New Roman"/>
        </w:rPr>
        <w:t>characteristics</w:t>
      </w:r>
      <w:r>
        <w:rPr>
          <w:rFonts w:ascii="Roboto Condensed Light" w:hAnsi="Roboto Condensed Light" w:eastAsia="MS Mincho" w:cs="Times New Roman"/>
        </w:rPr>
        <w:t xml:space="preserve">—victim fear level, police overall assessment of risk of further violence, whether children were present at the index incident, and whether disability was present at the index incident—also </w:t>
      </w:r>
      <w:r w:rsidRPr="00341E10">
        <w:rPr>
          <w:rFonts w:ascii="Roboto Condensed Light" w:hAnsi="Roboto Condensed Light" w:eastAsia="MS Mincho" w:cs="Times New Roman"/>
        </w:rPr>
        <w:t xml:space="preserve">had significant </w:t>
      </w:r>
      <w:r>
        <w:rPr>
          <w:rFonts w:ascii="Roboto Condensed Light" w:hAnsi="Roboto Condensed Light" w:eastAsia="MS Mincho" w:cs="Times New Roman"/>
        </w:rPr>
        <w:t xml:space="preserve">bivariate </w:t>
      </w:r>
      <w:r w:rsidRPr="00341E10">
        <w:rPr>
          <w:rFonts w:ascii="Roboto Condensed Light" w:hAnsi="Roboto Condensed Light" w:eastAsia="MS Mincho" w:cs="Times New Roman"/>
        </w:rPr>
        <w:t>relationships with recidivism. Where victim fear level was recorded as ‘not fearful’ at the index incident, perpetrators were less likely to be recorded for a recidivism incident. These perpetrators made up 58%</w:t>
      </w:r>
      <w:r>
        <w:rPr>
          <w:rFonts w:ascii="Roboto Condensed Light" w:hAnsi="Roboto Condensed Light" w:eastAsia="MS Mincho" w:cs="Times New Roman"/>
        </w:rPr>
        <w:t xml:space="preserve"> (n=8,645)</w:t>
      </w:r>
      <w:r w:rsidRPr="00341E10">
        <w:rPr>
          <w:rFonts w:ascii="Roboto Condensed Light" w:hAnsi="Roboto Condensed Light" w:eastAsia="MS Mincho" w:cs="Times New Roman"/>
        </w:rPr>
        <w:t xml:space="preserve"> of recidivist perpetrators compared with 64%</w:t>
      </w:r>
      <w:r>
        <w:rPr>
          <w:rFonts w:ascii="Roboto Condensed Light" w:hAnsi="Roboto Condensed Light" w:eastAsia="MS Mincho" w:cs="Times New Roman"/>
        </w:rPr>
        <w:t xml:space="preserve"> (n=9,007)</w:t>
      </w:r>
      <w:r w:rsidRPr="00341E10">
        <w:rPr>
          <w:rFonts w:ascii="Roboto Condensed Light" w:hAnsi="Roboto Condensed Light" w:eastAsia="MS Mincho" w:cs="Times New Roman"/>
        </w:rPr>
        <w:t xml:space="preserve"> of non-recidivist perpetrators. On the other hand, where victim fear level was ‘fearful’ or ‘very fearful’ perpetrators were more likely to be recorded for a recidivism incident. They made up 30%</w:t>
      </w:r>
      <w:r>
        <w:rPr>
          <w:rFonts w:ascii="Roboto Condensed Light" w:hAnsi="Roboto Condensed Light" w:eastAsia="MS Mincho" w:cs="Times New Roman"/>
        </w:rPr>
        <w:t xml:space="preserve"> (n=4,463)</w:t>
      </w:r>
      <w:r w:rsidRPr="00341E10">
        <w:rPr>
          <w:rFonts w:ascii="Roboto Condensed Light" w:hAnsi="Roboto Condensed Light" w:eastAsia="MS Mincho" w:cs="Times New Roman"/>
        </w:rPr>
        <w:t xml:space="preserve"> of recidivist</w:t>
      </w:r>
      <w:r>
        <w:rPr>
          <w:rFonts w:ascii="Roboto Condensed Light" w:hAnsi="Roboto Condensed Light" w:eastAsia="MS Mincho" w:cs="Times New Roman"/>
        </w:rPr>
        <w:t xml:space="preserve"> </w:t>
      </w:r>
      <w:r w:rsidRPr="00341E10">
        <w:rPr>
          <w:rFonts w:ascii="Roboto Condensed Light" w:hAnsi="Roboto Condensed Light" w:eastAsia="MS Mincho" w:cs="Times New Roman"/>
        </w:rPr>
        <w:t>compared with 27%</w:t>
      </w:r>
      <w:r>
        <w:rPr>
          <w:rFonts w:ascii="Roboto Condensed Light" w:hAnsi="Roboto Condensed Light" w:eastAsia="MS Mincho" w:cs="Times New Roman"/>
        </w:rPr>
        <w:t xml:space="preserve"> (n=3,836)</w:t>
      </w:r>
      <w:r w:rsidRPr="00341E10">
        <w:rPr>
          <w:rFonts w:ascii="Roboto Condensed Light" w:hAnsi="Roboto Condensed Light" w:eastAsia="MS Mincho" w:cs="Times New Roman"/>
        </w:rPr>
        <w:t xml:space="preserve"> of non-recidivist perpetrators where victims were ‘fearful’, and 11% </w:t>
      </w:r>
      <w:r>
        <w:rPr>
          <w:rFonts w:ascii="Roboto Condensed Light" w:hAnsi="Roboto Condensed Light" w:eastAsia="MS Mincho" w:cs="Times New Roman"/>
        </w:rPr>
        <w:t xml:space="preserve">(n=1,692) </w:t>
      </w:r>
      <w:r w:rsidRPr="00341E10">
        <w:rPr>
          <w:rFonts w:ascii="Roboto Condensed Light" w:hAnsi="Roboto Condensed Light" w:eastAsia="MS Mincho" w:cs="Times New Roman"/>
        </w:rPr>
        <w:t>of recidivist compared with 9%</w:t>
      </w:r>
      <w:r>
        <w:rPr>
          <w:rFonts w:ascii="Roboto Condensed Light" w:hAnsi="Roboto Condensed Light" w:eastAsia="MS Mincho" w:cs="Times New Roman"/>
        </w:rPr>
        <w:t xml:space="preserve"> (n=1,319)</w:t>
      </w:r>
      <w:r w:rsidRPr="00341E10">
        <w:rPr>
          <w:rFonts w:ascii="Roboto Condensed Light" w:hAnsi="Roboto Condensed Light" w:eastAsia="MS Mincho" w:cs="Times New Roman"/>
        </w:rPr>
        <w:t xml:space="preserve"> of non-recidivist perpetrators where victims were ‘very fearful’.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341E10">
        <w:rPr>
          <w:rFonts w:ascii="Roboto Condensed Light" w:hAnsi="Roboto Condensed Light" w:eastAsia="MS Mincho" w:cs="Times New Roman"/>
        </w:rPr>
        <w:t xml:space="preserve">Where police made an assessment of future risk of violence, they assessed the risk as ‘unlikely’ for 45% </w:t>
      </w:r>
      <w:r>
        <w:rPr>
          <w:rFonts w:ascii="Roboto Condensed Light" w:hAnsi="Roboto Condensed Light" w:eastAsia="MS Mincho" w:cs="Times New Roman"/>
        </w:rPr>
        <w:t xml:space="preserve">(n=4,599) </w:t>
      </w:r>
      <w:r w:rsidRPr="00341E10">
        <w:rPr>
          <w:rFonts w:ascii="Roboto Condensed Light" w:hAnsi="Roboto Condensed Light" w:eastAsia="MS Mincho" w:cs="Times New Roman"/>
        </w:rPr>
        <w:t>of recidivist perpetrators and as ‘likely’ for the remaining 55%</w:t>
      </w:r>
      <w:r>
        <w:rPr>
          <w:rFonts w:ascii="Roboto Condensed Light" w:hAnsi="Roboto Condensed Light" w:eastAsia="MS Mincho" w:cs="Times New Roman"/>
        </w:rPr>
        <w:t xml:space="preserve"> (n=5,532)</w:t>
      </w:r>
      <w:r w:rsidRPr="00341E10">
        <w:rPr>
          <w:rFonts w:ascii="Roboto Condensed Light" w:hAnsi="Roboto Condensed Light" w:eastAsia="MS Mincho" w:cs="Times New Roman"/>
        </w:rPr>
        <w:t>. Conversely, they assessed the risk as ‘unlikely’ for 60%</w:t>
      </w:r>
      <w:r>
        <w:rPr>
          <w:rFonts w:ascii="Roboto Condensed Light" w:hAnsi="Roboto Condensed Light" w:eastAsia="MS Mincho" w:cs="Times New Roman"/>
        </w:rPr>
        <w:t xml:space="preserve"> (n=5,837)</w:t>
      </w:r>
      <w:r w:rsidRPr="00341E10">
        <w:rPr>
          <w:rFonts w:ascii="Roboto Condensed Light" w:hAnsi="Roboto Condensed Light" w:eastAsia="MS Mincho" w:cs="Times New Roman"/>
        </w:rPr>
        <w:t xml:space="preserve"> of non-recidivist perpetrators, and as ‘likely’ for the remaining 40%</w:t>
      </w:r>
      <w:r>
        <w:rPr>
          <w:rFonts w:ascii="Roboto Condensed Light" w:hAnsi="Roboto Condensed Light" w:eastAsia="MS Mincho" w:cs="Times New Roman"/>
        </w:rPr>
        <w:t xml:space="preserve"> (n=3,933)</w:t>
      </w:r>
      <w:r w:rsidRPr="00341E10">
        <w:rPr>
          <w:rFonts w:ascii="Roboto Condensed Light" w:hAnsi="Roboto Condensed Light" w:eastAsia="MS Mincho" w:cs="Times New Roman"/>
        </w:rPr>
        <w:t>. Overall, the police officer’s assessment of further violence was ‘correct’ (to the extent that further incidents did or did not come to the attention of police within the analysis window) in 57% (n=11,369) of index incidents, indicating that their assessments were slightly better than chance at predicting recidivism over this timeframe.</w:t>
      </w:r>
      <w:r>
        <w:rPr>
          <w:rFonts w:ascii="Roboto Condensed Light" w:hAnsi="Roboto Condensed Light" w:eastAsia="MS Mincho" w:cs="Times New Roman"/>
        </w:rPr>
        <w:t xml:space="preserve"> It should be noted, however, that risk can change over time and police risk assessments are based on the situation at the time of the recorded incident.</w:t>
      </w:r>
      <w:r w:rsidRPr="00341E10">
        <w:rPr>
          <w:rFonts w:ascii="Roboto Condensed Light" w:hAnsi="Roboto Condensed Light" w:eastAsia="MS Mincho" w:cs="Times New Roman"/>
        </w:rPr>
        <w:t xml:space="preserve"> Recorded presence of children and presence of a disability at the index incident were both associated with a slightly increased likelihood or recidivism.</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341E10">
        <w:rPr>
          <w:rFonts w:ascii="Roboto Condensed Light" w:hAnsi="Roboto Condensed Light" w:eastAsia="MS Mincho" w:cs="Times New Roman"/>
        </w:rPr>
        <w:t xml:space="preserve">Tables </w:t>
      </w:r>
      <w:r>
        <w:rPr>
          <w:rFonts w:ascii="Roboto Condensed Light" w:hAnsi="Roboto Condensed Light" w:eastAsia="MS Mincho" w:cs="Times New Roman"/>
        </w:rPr>
        <w:t>3</w:t>
      </w:r>
      <w:r w:rsidRPr="00341E10">
        <w:rPr>
          <w:rFonts w:ascii="Roboto Condensed Light" w:hAnsi="Roboto Condensed Light" w:eastAsia="MS Mincho" w:cs="Times New Roman"/>
        </w:rPr>
        <w:t xml:space="preserve"> and </w:t>
      </w:r>
      <w:r>
        <w:rPr>
          <w:rFonts w:ascii="Roboto Condensed Light" w:hAnsi="Roboto Condensed Light" w:eastAsia="MS Mincho" w:cs="Times New Roman"/>
        </w:rPr>
        <w:t>4</w:t>
      </w:r>
      <w:r w:rsidRPr="00341E10">
        <w:rPr>
          <w:rFonts w:ascii="Roboto Condensed Light" w:hAnsi="Roboto Condensed Light" w:eastAsia="MS Mincho" w:cs="Times New Roman"/>
        </w:rPr>
        <w:t xml:space="preserve"> show the bivariate relationships between recidivism and each of the risk factors recorded by police at the index incident. They present both the number and proportion of recidivist perpetrators who did not have a specific risk factor recorded at their index incident compared to those that did have the risk factor recorded. Where the ‘significance level’ column indicates a significant relationship, and the proportion of recidivists that did have the risk factor present is larger than the proportion that did not, this indicates a positive relationship between presence of the risk factor and recidivism.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341E10">
        <w:rPr>
          <w:rFonts w:ascii="Roboto Condensed Light" w:hAnsi="Roboto Condensed Light" w:eastAsia="MS Mincho" w:cs="Times New Roman"/>
        </w:rPr>
        <w:t>As shown, the analyses indicated that there were significant associations between the majority of risk factors and recidivism. Risk factors that did not have an association with recidivism included: victim depression/mental health issue; victim suicidal ideas/attempted suicide; recent separation; perpetrator use of weapons (not firearms); perpetrator harmed or threatened to harm/kill children; and, perpetrator stalked victim.</w:t>
      </w:r>
    </w:p>
    <w:p w:rsidR="001B57E5" w:rsidP="001B57E5" w:rsidRDefault="001B57E5">
      <w:pPr>
        <w:pStyle w:val="TableHeading"/>
      </w:pPr>
      <w:r>
        <w:t>Table 3: Bivariate relationships between victim and relationship risk factors and recidivism</w:t>
      </w:r>
    </w:p>
    <w:tbl>
      <w:tblPr>
        <w:tblStyle w:val="TableGrid"/>
        <w:tblW w:w="0" w:type="auto"/>
        <w:tblLook w:firstRow="1" w:lastRow="0" w:firstColumn="1" w:lastColumn="0" w:noHBand="0" w:noVBand="1" w:val="04A0"/>
      </w:tblPr>
      <w:tblGrid>
        <w:gridCol w:w="2488"/>
        <w:gridCol w:w="1448"/>
        <w:gridCol w:w="1445"/>
        <w:gridCol w:w="1447"/>
        <w:gridCol w:w="1445"/>
        <w:gridCol w:w="1334"/>
      </w:tblGrid>
      <w:tr w:rsidR="001B57E5" w:rsidTr="00DC15CD">
        <w:tc>
          <w:tcPr>
            <w:tcW w:w="2508" w:type="dxa"/>
            <w:tcBorders>
              <w:top w:val="single" w:color="auto" w:sz="4" w:space="0"/>
              <w:left w:val="single" w:color="auto" w:sz="4" w:space="0"/>
              <w:bottom w:val="nil"/>
              <w:right w:val="nil"/>
            </w:tcBorders>
            <w:shd w:val="clear" w:color="auto" w:fill="A6A6A6" w:themeFill="background1" w:themeFillShade="A6"/>
          </w:tcPr>
          <w:p w:rsidR="001B57E5" w:rsidP="00DC15CD" w:rsidRDefault="001B57E5">
            <w:pPr>
              <w:pStyle w:val="BodyText"/>
              <w:jc w:val="center"/>
              <w:rPr>
                <w:color w:val="FFFFFF" w:themeColor="background1"/>
                <w:sz w:val="20"/>
                <w:szCs w:val="20"/>
              </w:rPr>
            </w:pPr>
          </w:p>
          <w:p w:rsidR="001B57E5" w:rsidP="00DC15CD" w:rsidRDefault="001B57E5">
            <w:pPr>
              <w:pStyle w:val="BodyText"/>
              <w:jc w:val="center"/>
              <w:rPr>
                <w:color w:val="FFFFFF" w:themeColor="background1"/>
                <w:sz w:val="20"/>
                <w:szCs w:val="20"/>
              </w:rPr>
            </w:pPr>
            <w:r>
              <w:rPr>
                <w:color w:val="FFFFFF" w:themeColor="background1"/>
                <w:sz w:val="20"/>
                <w:szCs w:val="20"/>
              </w:rPr>
              <w:t>L17 form risk factors</w:t>
            </w:r>
          </w:p>
        </w:tc>
        <w:tc>
          <w:tcPr>
            <w:tcW w:w="2928" w:type="dxa"/>
            <w:gridSpan w:val="2"/>
            <w:tcBorders>
              <w:top w:val="single" w:color="auto" w:sz="4" w:space="0"/>
              <w:left w:val="nil"/>
              <w:bottom w:val="nil"/>
              <w:right w:val="nil"/>
            </w:tcBorders>
            <w:shd w:val="clear" w:color="auto" w:fill="A6A6A6" w:themeFill="background1" w:themeFillShade="A6"/>
            <w:vAlign w:val="center"/>
            <w:hideMark/>
          </w:tcPr>
          <w:p w:rsidR="001B57E5" w:rsidP="00DC15CD" w:rsidRDefault="001B57E5">
            <w:pPr>
              <w:pStyle w:val="BodyText"/>
              <w:jc w:val="center"/>
              <w:rPr>
                <w:color w:val="FFFFFF" w:themeColor="background1"/>
                <w:sz w:val="20"/>
                <w:szCs w:val="20"/>
              </w:rPr>
            </w:pPr>
            <w:r>
              <w:rPr>
                <w:color w:val="FFFFFF" w:themeColor="background1"/>
                <w:sz w:val="20"/>
                <w:szCs w:val="20"/>
              </w:rPr>
              <w:t>Alleged perpetrators without risk factor present who had a recidivism incident</w:t>
            </w:r>
          </w:p>
        </w:tc>
        <w:tc>
          <w:tcPr>
            <w:tcW w:w="2928" w:type="dxa"/>
            <w:gridSpan w:val="2"/>
            <w:tcBorders>
              <w:top w:val="single" w:color="auto" w:sz="4" w:space="0"/>
              <w:left w:val="nil"/>
              <w:bottom w:val="nil"/>
              <w:right w:val="nil"/>
            </w:tcBorders>
            <w:shd w:val="clear" w:color="auto" w:fill="A6A6A6" w:themeFill="background1" w:themeFillShade="A6"/>
            <w:vAlign w:val="center"/>
            <w:hideMark/>
          </w:tcPr>
          <w:p w:rsidR="001B57E5" w:rsidP="00DC15CD" w:rsidRDefault="001B57E5">
            <w:pPr>
              <w:pStyle w:val="BodyText"/>
              <w:jc w:val="center"/>
              <w:rPr>
                <w:color w:val="FFFFFF" w:themeColor="background1"/>
                <w:sz w:val="20"/>
                <w:szCs w:val="20"/>
              </w:rPr>
            </w:pPr>
            <w:r>
              <w:rPr>
                <w:color w:val="FFFFFF" w:themeColor="background1"/>
                <w:sz w:val="20"/>
                <w:szCs w:val="20"/>
              </w:rPr>
              <w:t>Alleged perpetrators with risk factor present who had a recidivism incident</w:t>
            </w:r>
          </w:p>
        </w:tc>
        <w:tc>
          <w:tcPr>
            <w:tcW w:w="1338" w:type="dxa"/>
            <w:tcBorders>
              <w:top w:val="single" w:color="auto" w:sz="4" w:space="0"/>
              <w:left w:val="nil"/>
              <w:bottom w:val="nil"/>
              <w:right w:val="single" w:color="auto" w:sz="4" w:space="0"/>
            </w:tcBorders>
            <w:shd w:val="clear" w:color="auto" w:fill="A6A6A6" w:themeFill="background1" w:themeFillShade="A6"/>
            <w:vAlign w:val="center"/>
            <w:hideMark/>
          </w:tcPr>
          <w:p w:rsidR="001B57E5" w:rsidP="00DC15CD" w:rsidRDefault="001B57E5">
            <w:pPr>
              <w:pStyle w:val="BodyText"/>
              <w:jc w:val="center"/>
              <w:rPr>
                <w:color w:val="FFFFFF" w:themeColor="background1"/>
                <w:sz w:val="20"/>
                <w:szCs w:val="20"/>
              </w:rPr>
            </w:pPr>
            <w:r>
              <w:rPr>
                <w:color w:val="FFFFFF" w:themeColor="background1"/>
                <w:sz w:val="20"/>
                <w:szCs w:val="20"/>
              </w:rPr>
              <w:t>Significance</w:t>
            </w:r>
          </w:p>
        </w:tc>
      </w:tr>
      <w:tr w:rsidR="001B57E5" w:rsidTr="00DC15CD">
        <w:tc>
          <w:tcPr>
            <w:tcW w:w="2508" w:type="dxa"/>
            <w:tcBorders>
              <w:top w:val="nil"/>
              <w:left w:val="single" w:color="auto" w:sz="4" w:space="0"/>
              <w:bottom w:val="single" w:color="auto" w:sz="4" w:space="0"/>
              <w:right w:val="nil"/>
            </w:tcBorders>
            <w:shd w:val="clear" w:color="auto" w:fill="A6A6A6" w:themeFill="background1" w:themeFillShade="A6"/>
          </w:tcPr>
          <w:p w:rsidR="001B57E5" w:rsidP="00DC15CD" w:rsidRDefault="001B57E5">
            <w:pPr>
              <w:pStyle w:val="BodyText"/>
              <w:jc w:val="center"/>
              <w:rPr>
                <w:color w:val="FFFFFF" w:themeColor="background1"/>
                <w:sz w:val="20"/>
                <w:szCs w:val="20"/>
              </w:rPr>
            </w:pPr>
          </w:p>
        </w:tc>
        <w:tc>
          <w:tcPr>
            <w:tcW w:w="1464" w:type="dxa"/>
            <w:tcBorders>
              <w:top w:val="nil"/>
              <w:left w:val="nil"/>
              <w:bottom w:val="single" w:color="auto" w:sz="4" w:space="0"/>
              <w:right w:val="nil"/>
            </w:tcBorders>
            <w:shd w:val="clear" w:color="auto" w:fill="A6A6A6" w:themeFill="background1" w:themeFillShade="A6"/>
            <w:vAlign w:val="center"/>
            <w:hideMark/>
          </w:tcPr>
          <w:p w:rsidR="001B57E5" w:rsidP="00DC15CD" w:rsidRDefault="001B57E5">
            <w:pPr>
              <w:pStyle w:val="BodyText"/>
              <w:jc w:val="center"/>
              <w:rPr>
                <w:i/>
                <w:color w:val="FFFFFF" w:themeColor="background1"/>
                <w:sz w:val="20"/>
                <w:szCs w:val="20"/>
              </w:rPr>
            </w:pPr>
            <w:r>
              <w:rPr>
                <w:i/>
                <w:color w:val="FFFFFF" w:themeColor="background1"/>
                <w:sz w:val="20"/>
                <w:szCs w:val="20"/>
              </w:rPr>
              <w:t>n</w:t>
            </w:r>
          </w:p>
        </w:tc>
        <w:tc>
          <w:tcPr>
            <w:tcW w:w="1464" w:type="dxa"/>
            <w:tcBorders>
              <w:top w:val="nil"/>
              <w:left w:val="nil"/>
              <w:bottom w:val="single" w:color="auto" w:sz="4" w:space="0"/>
              <w:right w:val="nil"/>
            </w:tcBorders>
            <w:shd w:val="clear" w:color="auto" w:fill="A6A6A6" w:themeFill="background1" w:themeFillShade="A6"/>
            <w:vAlign w:val="center"/>
            <w:hideMark/>
          </w:tcPr>
          <w:p w:rsidR="001B57E5" w:rsidP="00DC15CD" w:rsidRDefault="001B57E5">
            <w:pPr>
              <w:pStyle w:val="BodyText"/>
              <w:jc w:val="center"/>
              <w:rPr>
                <w:color w:val="FFFFFF" w:themeColor="background1"/>
                <w:sz w:val="20"/>
                <w:szCs w:val="20"/>
              </w:rPr>
            </w:pPr>
            <w:r>
              <w:rPr>
                <w:color w:val="FFFFFF" w:themeColor="background1"/>
                <w:sz w:val="20"/>
                <w:szCs w:val="20"/>
              </w:rPr>
              <w:t>%</w:t>
            </w:r>
          </w:p>
        </w:tc>
        <w:tc>
          <w:tcPr>
            <w:tcW w:w="1464" w:type="dxa"/>
            <w:tcBorders>
              <w:top w:val="nil"/>
              <w:left w:val="nil"/>
              <w:bottom w:val="single" w:color="auto" w:sz="4" w:space="0"/>
              <w:right w:val="nil"/>
            </w:tcBorders>
            <w:shd w:val="clear" w:color="auto" w:fill="A6A6A6" w:themeFill="background1" w:themeFillShade="A6"/>
            <w:vAlign w:val="center"/>
            <w:hideMark/>
          </w:tcPr>
          <w:p w:rsidR="001B57E5" w:rsidP="00DC15CD" w:rsidRDefault="001B57E5">
            <w:pPr>
              <w:pStyle w:val="BodyText"/>
              <w:jc w:val="center"/>
              <w:rPr>
                <w:i/>
                <w:color w:val="FFFFFF" w:themeColor="background1"/>
                <w:sz w:val="20"/>
                <w:szCs w:val="20"/>
              </w:rPr>
            </w:pPr>
            <w:r>
              <w:rPr>
                <w:i/>
                <w:color w:val="FFFFFF" w:themeColor="background1"/>
                <w:sz w:val="20"/>
                <w:szCs w:val="20"/>
              </w:rPr>
              <w:t>n</w:t>
            </w:r>
          </w:p>
        </w:tc>
        <w:tc>
          <w:tcPr>
            <w:tcW w:w="1464" w:type="dxa"/>
            <w:tcBorders>
              <w:top w:val="nil"/>
              <w:left w:val="nil"/>
              <w:bottom w:val="single" w:color="auto" w:sz="4" w:space="0"/>
              <w:right w:val="nil"/>
            </w:tcBorders>
            <w:shd w:val="clear" w:color="auto" w:fill="A6A6A6" w:themeFill="background1" w:themeFillShade="A6"/>
            <w:vAlign w:val="center"/>
            <w:hideMark/>
          </w:tcPr>
          <w:p w:rsidR="001B57E5" w:rsidP="00DC15CD" w:rsidRDefault="001B57E5">
            <w:pPr>
              <w:pStyle w:val="BodyText"/>
              <w:jc w:val="center"/>
              <w:rPr>
                <w:color w:val="FFFFFF" w:themeColor="background1"/>
                <w:sz w:val="20"/>
                <w:szCs w:val="20"/>
              </w:rPr>
            </w:pPr>
            <w:r>
              <w:rPr>
                <w:color w:val="FFFFFF" w:themeColor="background1"/>
                <w:sz w:val="20"/>
                <w:szCs w:val="20"/>
              </w:rPr>
              <w:t>%</w:t>
            </w:r>
          </w:p>
        </w:tc>
        <w:tc>
          <w:tcPr>
            <w:tcW w:w="1338" w:type="dxa"/>
            <w:tcBorders>
              <w:top w:val="nil"/>
              <w:left w:val="nil"/>
              <w:bottom w:val="single" w:color="auto" w:sz="4" w:space="0"/>
              <w:right w:val="single" w:color="auto" w:sz="4" w:space="0"/>
            </w:tcBorders>
            <w:shd w:val="clear" w:color="auto" w:fill="A6A6A6" w:themeFill="background1" w:themeFillShade="A6"/>
            <w:hideMark/>
          </w:tcPr>
          <w:p w:rsidR="001B57E5" w:rsidP="00DC15CD" w:rsidRDefault="001B57E5">
            <w:pPr>
              <w:pStyle w:val="BodyText"/>
              <w:jc w:val="center"/>
              <w:rPr>
                <w:i/>
                <w:color w:val="FFFFFF" w:themeColor="background1"/>
                <w:sz w:val="20"/>
                <w:szCs w:val="20"/>
              </w:rPr>
            </w:pPr>
            <w:r>
              <w:rPr>
                <w:i/>
                <w:color w:val="FFFFFF" w:themeColor="background1"/>
                <w:sz w:val="20"/>
                <w:szCs w:val="20"/>
              </w:rPr>
              <w:t>p</w:t>
            </w:r>
          </w:p>
        </w:tc>
      </w:tr>
      <w:tr w:rsidR="001B57E5" w:rsidTr="00DC15CD">
        <w:tc>
          <w:tcPr>
            <w:tcW w:w="9702" w:type="dxa"/>
            <w:gridSpan w:val="6"/>
            <w:tcBorders>
              <w:top w:val="single" w:color="auto" w:sz="4" w:space="0"/>
              <w:left w:val="single" w:color="auto" w:sz="4" w:space="0"/>
              <w:bottom w:val="single" w:color="auto" w:sz="4" w:space="0"/>
              <w:right w:val="single" w:color="auto" w:sz="4" w:space="0"/>
            </w:tcBorders>
            <w:shd w:val="clear" w:color="auto" w:fill="BD8EB9"/>
            <w:hideMark/>
          </w:tcPr>
          <w:p w:rsidR="001B57E5" w:rsidP="00DC15CD" w:rsidRDefault="001B57E5">
            <w:pPr>
              <w:pStyle w:val="BodyTextSpaceAfter"/>
              <w:spacing w:before="60" w:after="60"/>
              <w:rPr>
                <w:sz w:val="18"/>
                <w:szCs w:val="18"/>
              </w:rPr>
            </w:pPr>
            <w:r>
              <w:rPr>
                <w:b/>
                <w:sz w:val="18"/>
                <w:szCs w:val="18"/>
              </w:rPr>
              <w:t>Victim risk factors present at index incident</w:t>
            </w:r>
          </w:p>
        </w:tc>
      </w:tr>
      <w:tr w:rsidR="001B57E5" w:rsidTr="00DC15CD">
        <w:tc>
          <w:tcPr>
            <w:tcW w:w="2508"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Pregnancy/new birth</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14,323</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49.4</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1,088</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64.6</w:t>
            </w:r>
          </w:p>
        </w:tc>
        <w:tc>
          <w:tcPr>
            <w:tcW w:w="1338"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508"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Depression/mental health issue</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13,949</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50.2</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1,462</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50.2</w:t>
            </w:r>
          </w:p>
        </w:tc>
        <w:tc>
          <w:tcPr>
            <w:tcW w:w="1338"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Not Significant</w:t>
            </w:r>
          </w:p>
        </w:tc>
      </w:tr>
      <w:tr w:rsidR="001B57E5" w:rsidTr="00DC15CD">
        <w:tc>
          <w:tcPr>
            <w:tcW w:w="2508"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Alcohol use possible</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13,155</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49.3</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2,256</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56.2</w:t>
            </w:r>
          </w:p>
        </w:tc>
        <w:tc>
          <w:tcPr>
            <w:tcW w:w="1338"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508"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Alcohol use definite</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12,876</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49.3</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2,535</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55.4</w:t>
            </w:r>
          </w:p>
        </w:tc>
        <w:tc>
          <w:tcPr>
            <w:tcW w:w="1338"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508"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Drug use possible</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13,556</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48.8</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1,855</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63.6</w:t>
            </w:r>
          </w:p>
        </w:tc>
        <w:tc>
          <w:tcPr>
            <w:tcW w:w="1338"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508"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Drug use definite</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15,060</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49.9</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351</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67.2</w:t>
            </w:r>
          </w:p>
        </w:tc>
        <w:tc>
          <w:tcPr>
            <w:tcW w:w="1338"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508"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Suicidal ideas/attempted suicide</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15,249</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50.2</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162</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54.0</w:t>
            </w:r>
          </w:p>
        </w:tc>
        <w:tc>
          <w:tcPr>
            <w:tcW w:w="1338"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Not Significant</w:t>
            </w:r>
          </w:p>
        </w:tc>
      </w:tr>
      <w:tr w:rsidR="001B57E5" w:rsidTr="00DC15CD">
        <w:tc>
          <w:tcPr>
            <w:tcW w:w="2508"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Social isolation</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15,011</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50.3</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400</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45.7</w:t>
            </w:r>
          </w:p>
        </w:tc>
        <w:tc>
          <w:tcPr>
            <w:tcW w:w="1338"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.01</w:t>
            </w:r>
          </w:p>
        </w:tc>
      </w:tr>
      <w:tr w:rsidR="001B57E5" w:rsidTr="00DC15CD">
        <w:tc>
          <w:tcPr>
            <w:tcW w:w="9702" w:type="dxa"/>
            <w:gridSpan w:val="6"/>
            <w:tcBorders>
              <w:top w:val="single" w:color="auto" w:sz="4" w:space="0"/>
              <w:left w:val="single" w:color="auto" w:sz="4" w:space="0"/>
              <w:bottom w:val="single" w:color="auto" w:sz="4" w:space="0"/>
              <w:right w:val="single" w:color="auto" w:sz="4" w:space="0"/>
            </w:tcBorders>
            <w:shd w:val="clear" w:color="auto" w:fill="BD8EB9"/>
            <w:hideMark/>
          </w:tcPr>
          <w:p w:rsidR="001B57E5" w:rsidP="00DC15CD" w:rsidRDefault="001B57E5">
            <w:pPr>
              <w:pStyle w:val="BodyTextSpaceAfter"/>
              <w:spacing w:before="60" w:after="60"/>
              <w:rPr>
                <w:sz w:val="18"/>
                <w:szCs w:val="18"/>
              </w:rPr>
            </w:pPr>
            <w:r>
              <w:rPr>
                <w:b/>
                <w:sz w:val="18"/>
                <w:szCs w:val="18"/>
              </w:rPr>
              <w:t>Relationship risk factors present at index incident</w:t>
            </w:r>
          </w:p>
        </w:tc>
      </w:tr>
      <w:tr w:rsidR="001B57E5" w:rsidTr="00DC15CD">
        <w:tc>
          <w:tcPr>
            <w:tcW w:w="2508"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Recent separation</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11,617</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50.3</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3,794</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50.0</w:t>
            </w:r>
          </w:p>
        </w:tc>
        <w:tc>
          <w:tcPr>
            <w:tcW w:w="1338"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Not Significant</w:t>
            </w:r>
          </w:p>
        </w:tc>
      </w:tr>
      <w:tr w:rsidR="001B57E5" w:rsidTr="00DC15CD">
        <w:tc>
          <w:tcPr>
            <w:tcW w:w="2508"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Escalation – increase in severity or frequency</w:t>
            </w:r>
          </w:p>
        </w:tc>
        <w:tc>
          <w:tcPr>
            <w:tcW w:w="1464" w:type="dxa"/>
            <w:tcBorders>
              <w:top w:val="single" w:color="auto" w:sz="4" w:space="0"/>
              <w:left w:val="nil"/>
              <w:bottom w:val="single" w:color="auto" w:sz="4" w:space="0"/>
              <w:right w:val="nil"/>
            </w:tcBorders>
            <w:shd w:val="clear" w:color="auto" w:fill="E4D2E2"/>
            <w:vAlign w:val="center"/>
            <w:hideMark/>
          </w:tcPr>
          <w:p w:rsidR="001B57E5" w:rsidP="00DC15CD" w:rsidRDefault="001B57E5">
            <w:pPr>
              <w:pStyle w:val="BodyTextSpaceAfter"/>
              <w:spacing w:before="60" w:after="60"/>
              <w:jc w:val="center"/>
              <w:rPr>
                <w:color w:val="auto"/>
                <w:sz w:val="18"/>
                <w:szCs w:val="18"/>
              </w:rPr>
            </w:pPr>
            <w:r>
              <w:rPr>
                <w:color w:val="auto"/>
                <w:sz w:val="18"/>
                <w:szCs w:val="18"/>
              </w:rPr>
              <w:t>14,238</w:t>
            </w:r>
          </w:p>
        </w:tc>
        <w:tc>
          <w:tcPr>
            <w:tcW w:w="1464" w:type="dxa"/>
            <w:tcBorders>
              <w:top w:val="single" w:color="auto" w:sz="4" w:space="0"/>
              <w:left w:val="nil"/>
              <w:bottom w:val="single" w:color="auto" w:sz="4" w:space="0"/>
              <w:right w:val="nil"/>
            </w:tcBorders>
            <w:shd w:val="clear" w:color="auto" w:fill="E4D2E2"/>
            <w:vAlign w:val="center"/>
            <w:hideMark/>
          </w:tcPr>
          <w:p w:rsidR="001B57E5" w:rsidP="00DC15CD" w:rsidRDefault="001B57E5">
            <w:pPr>
              <w:pStyle w:val="BodyTextSpaceAfter"/>
              <w:spacing w:before="60" w:after="60"/>
              <w:jc w:val="center"/>
              <w:rPr>
                <w:sz w:val="18"/>
                <w:szCs w:val="18"/>
              </w:rPr>
            </w:pPr>
            <w:r>
              <w:rPr>
                <w:sz w:val="18"/>
                <w:szCs w:val="18"/>
              </w:rPr>
              <w:t>49.7</w:t>
            </w:r>
          </w:p>
        </w:tc>
        <w:tc>
          <w:tcPr>
            <w:tcW w:w="1464" w:type="dxa"/>
            <w:tcBorders>
              <w:top w:val="single" w:color="auto" w:sz="4" w:space="0"/>
              <w:left w:val="nil"/>
              <w:bottom w:val="single" w:color="auto" w:sz="4" w:space="0"/>
              <w:right w:val="nil"/>
            </w:tcBorders>
            <w:vAlign w:val="center"/>
            <w:hideMark/>
          </w:tcPr>
          <w:p w:rsidR="001B57E5" w:rsidP="00DC15CD" w:rsidRDefault="001B57E5">
            <w:pPr>
              <w:pStyle w:val="BodyTextSpaceAfter"/>
              <w:spacing w:before="60" w:after="60"/>
              <w:jc w:val="center"/>
              <w:rPr>
                <w:color w:val="auto"/>
                <w:sz w:val="18"/>
                <w:szCs w:val="18"/>
              </w:rPr>
            </w:pPr>
            <w:r>
              <w:rPr>
                <w:color w:val="auto"/>
                <w:sz w:val="18"/>
                <w:szCs w:val="18"/>
              </w:rPr>
              <w:t>1,173</w:t>
            </w:r>
          </w:p>
        </w:tc>
        <w:tc>
          <w:tcPr>
            <w:tcW w:w="1464" w:type="dxa"/>
            <w:tcBorders>
              <w:top w:val="single" w:color="auto" w:sz="4" w:space="0"/>
              <w:left w:val="nil"/>
              <w:bottom w:val="single" w:color="auto" w:sz="4" w:space="0"/>
              <w:right w:val="nil"/>
            </w:tcBorders>
            <w:vAlign w:val="center"/>
            <w:hideMark/>
          </w:tcPr>
          <w:p w:rsidR="001B57E5" w:rsidP="00DC15CD" w:rsidRDefault="001B57E5">
            <w:pPr>
              <w:pStyle w:val="BodyTextSpaceAfter"/>
              <w:spacing w:before="60" w:after="60"/>
              <w:jc w:val="center"/>
              <w:rPr>
                <w:sz w:val="18"/>
                <w:szCs w:val="18"/>
              </w:rPr>
            </w:pPr>
            <w:r>
              <w:rPr>
                <w:sz w:val="18"/>
                <w:szCs w:val="18"/>
              </w:rPr>
              <w:t>57.3</w:t>
            </w:r>
          </w:p>
        </w:tc>
        <w:tc>
          <w:tcPr>
            <w:tcW w:w="1338" w:type="dxa"/>
            <w:tcBorders>
              <w:top w:val="single" w:color="auto" w:sz="4" w:space="0"/>
              <w:left w:val="nil"/>
              <w:bottom w:val="single" w:color="auto" w:sz="4" w:space="0"/>
              <w:right w:val="single" w:color="auto" w:sz="4" w:space="0"/>
            </w:tcBorders>
            <w:shd w:val="clear" w:color="auto" w:fill="E4D2E2"/>
            <w:vAlign w:val="center"/>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508"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Financial difficulties</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13,815</w:t>
            </w:r>
          </w:p>
        </w:tc>
        <w:tc>
          <w:tcPr>
            <w:tcW w:w="1464"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49.7</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1,596</w:t>
            </w:r>
          </w:p>
        </w:tc>
        <w:tc>
          <w:tcPr>
            <w:tcW w:w="1464"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54.7</w:t>
            </w:r>
          </w:p>
        </w:tc>
        <w:tc>
          <w:tcPr>
            <w:tcW w:w="1338"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bl>
    <w:p w:rsidR="001B57E5" w:rsidP="001B57E5" w:rsidRDefault="001B57E5">
      <w:pPr>
        <w:pStyle w:val="TableHeading"/>
      </w:pPr>
    </w:p>
    <w:p w:rsidR="001B57E5" w:rsidP="001B57E5" w:rsidRDefault="001B57E5">
      <w:pPr>
        <w:pStyle w:val="TableHeading"/>
      </w:pPr>
      <w:r>
        <w:t>Table 4: Bivariate relationships between alleged perpetrator risk factors and recidivism</w:t>
      </w:r>
    </w:p>
    <w:tbl>
      <w:tblPr>
        <w:tblStyle w:val="TableGrid"/>
        <w:tblW w:w="0" w:type="auto"/>
        <w:tblLook w:firstRow="1" w:lastRow="0" w:firstColumn="1" w:lastColumn="0" w:noHBand="0" w:noVBand="1" w:val="04A0"/>
      </w:tblPr>
      <w:tblGrid>
        <w:gridCol w:w="2489"/>
        <w:gridCol w:w="1447"/>
        <w:gridCol w:w="1445"/>
        <w:gridCol w:w="1447"/>
        <w:gridCol w:w="1445"/>
        <w:gridCol w:w="1334"/>
      </w:tblGrid>
      <w:tr w:rsidR="001B57E5" w:rsidTr="00DC15CD">
        <w:trPr>
          <w:tblHeader/>
        </w:trPr>
        <w:tc>
          <w:tcPr>
            <w:tcW w:w="2489" w:type="dxa"/>
            <w:tcBorders>
              <w:top w:val="single" w:color="auto" w:sz="4" w:space="0"/>
              <w:left w:val="single" w:color="auto" w:sz="4" w:space="0"/>
              <w:bottom w:val="nil"/>
              <w:right w:val="nil"/>
            </w:tcBorders>
            <w:shd w:val="clear" w:color="auto" w:fill="A6A6A6" w:themeFill="background1" w:themeFillShade="A6"/>
          </w:tcPr>
          <w:p w:rsidR="001B57E5" w:rsidP="00DC15CD" w:rsidRDefault="001B57E5">
            <w:pPr>
              <w:pStyle w:val="BodyText"/>
              <w:jc w:val="center"/>
              <w:rPr>
                <w:color w:val="FFFFFF" w:themeColor="background1"/>
                <w:sz w:val="20"/>
                <w:szCs w:val="20"/>
              </w:rPr>
            </w:pPr>
          </w:p>
          <w:p w:rsidR="001B57E5" w:rsidP="00DC15CD" w:rsidRDefault="001B57E5">
            <w:pPr>
              <w:pStyle w:val="BodyTextSpaceAfter"/>
              <w:spacing w:before="60" w:after="60"/>
              <w:rPr>
                <w:sz w:val="18"/>
                <w:szCs w:val="18"/>
              </w:rPr>
            </w:pPr>
            <w:r>
              <w:rPr>
                <w:color w:val="FFFFFF" w:themeColor="background1"/>
                <w:sz w:val="20"/>
                <w:szCs w:val="20"/>
              </w:rPr>
              <w:t>L17 form risk factors</w:t>
            </w:r>
          </w:p>
        </w:tc>
        <w:tc>
          <w:tcPr>
            <w:tcW w:w="2892" w:type="dxa"/>
            <w:gridSpan w:val="2"/>
            <w:tcBorders>
              <w:top w:val="single" w:color="auto" w:sz="4" w:space="0"/>
              <w:left w:val="nil"/>
              <w:bottom w:val="nil"/>
              <w:right w:val="nil"/>
            </w:tcBorders>
            <w:shd w:val="clear" w:color="auto" w:fill="A6A6A6" w:themeFill="background1" w:themeFillShade="A6"/>
            <w:vAlign w:val="center"/>
            <w:hideMark/>
          </w:tcPr>
          <w:p w:rsidR="001B57E5" w:rsidP="00DC15CD" w:rsidRDefault="001B57E5">
            <w:pPr>
              <w:pStyle w:val="BodyTextSpaceAfter"/>
              <w:spacing w:before="60" w:after="60"/>
              <w:jc w:val="center"/>
              <w:rPr>
                <w:sz w:val="18"/>
                <w:szCs w:val="18"/>
              </w:rPr>
            </w:pPr>
            <w:r>
              <w:rPr>
                <w:color w:val="FFFFFF" w:themeColor="background1"/>
                <w:sz w:val="20"/>
                <w:szCs w:val="20"/>
              </w:rPr>
              <w:t>Alleged perpetrators without risk factor present who had a recidivism incident</w:t>
            </w:r>
          </w:p>
        </w:tc>
        <w:tc>
          <w:tcPr>
            <w:tcW w:w="2892" w:type="dxa"/>
            <w:gridSpan w:val="2"/>
            <w:tcBorders>
              <w:top w:val="single" w:color="auto" w:sz="4" w:space="0"/>
              <w:left w:val="nil"/>
              <w:bottom w:val="nil"/>
              <w:right w:val="nil"/>
            </w:tcBorders>
            <w:shd w:val="clear" w:color="auto" w:fill="A6A6A6" w:themeFill="background1" w:themeFillShade="A6"/>
            <w:vAlign w:val="center"/>
            <w:hideMark/>
          </w:tcPr>
          <w:p w:rsidR="001B57E5" w:rsidP="00DC15CD" w:rsidRDefault="001B57E5">
            <w:pPr>
              <w:pStyle w:val="BodyTextSpaceAfter"/>
              <w:spacing w:before="60" w:after="60"/>
              <w:jc w:val="center"/>
              <w:rPr>
                <w:sz w:val="18"/>
                <w:szCs w:val="18"/>
              </w:rPr>
            </w:pPr>
            <w:r>
              <w:rPr>
                <w:color w:val="FFFFFF" w:themeColor="background1"/>
                <w:sz w:val="20"/>
                <w:szCs w:val="20"/>
              </w:rPr>
              <w:t>Alleged perpetrators with risk factor present who had a recidivism incident</w:t>
            </w:r>
          </w:p>
        </w:tc>
        <w:tc>
          <w:tcPr>
            <w:tcW w:w="1334" w:type="dxa"/>
            <w:tcBorders>
              <w:top w:val="single" w:color="auto" w:sz="4" w:space="0"/>
              <w:left w:val="nil"/>
              <w:bottom w:val="nil"/>
              <w:right w:val="single" w:color="auto" w:sz="4" w:space="0"/>
            </w:tcBorders>
            <w:shd w:val="clear" w:color="auto" w:fill="A6A6A6" w:themeFill="background1" w:themeFillShade="A6"/>
            <w:vAlign w:val="center"/>
            <w:hideMark/>
          </w:tcPr>
          <w:p w:rsidR="001B57E5" w:rsidP="00DC15CD" w:rsidRDefault="001B57E5">
            <w:pPr>
              <w:pStyle w:val="BodyTextSpaceAfter"/>
              <w:spacing w:before="60" w:after="60"/>
              <w:jc w:val="center"/>
              <w:rPr>
                <w:sz w:val="18"/>
                <w:szCs w:val="18"/>
              </w:rPr>
            </w:pPr>
            <w:r>
              <w:rPr>
                <w:color w:val="FFFFFF" w:themeColor="background1"/>
                <w:sz w:val="20"/>
                <w:szCs w:val="20"/>
              </w:rPr>
              <w:t>Significance level</w:t>
            </w:r>
          </w:p>
        </w:tc>
      </w:tr>
      <w:tr w:rsidR="001B57E5" w:rsidTr="00DC15CD">
        <w:trPr>
          <w:tblHeader/>
        </w:trPr>
        <w:tc>
          <w:tcPr>
            <w:tcW w:w="2489" w:type="dxa"/>
            <w:tcBorders>
              <w:top w:val="nil"/>
              <w:left w:val="single" w:color="auto" w:sz="4" w:space="0"/>
              <w:bottom w:val="single" w:color="auto" w:sz="4" w:space="0"/>
              <w:right w:val="nil"/>
            </w:tcBorders>
            <w:shd w:val="clear" w:color="auto" w:fill="A6A6A6" w:themeFill="background1" w:themeFillShade="A6"/>
          </w:tcPr>
          <w:p w:rsidR="001B57E5" w:rsidP="00DC15CD" w:rsidRDefault="001B57E5">
            <w:pPr>
              <w:pStyle w:val="BodyTextSpaceAfter"/>
              <w:spacing w:before="60" w:after="60"/>
              <w:rPr>
                <w:sz w:val="18"/>
                <w:szCs w:val="18"/>
              </w:rPr>
            </w:pPr>
          </w:p>
        </w:tc>
        <w:tc>
          <w:tcPr>
            <w:tcW w:w="1447" w:type="dxa"/>
            <w:tcBorders>
              <w:top w:val="nil"/>
              <w:left w:val="nil"/>
              <w:bottom w:val="single" w:color="auto" w:sz="4" w:space="0"/>
              <w:right w:val="nil"/>
            </w:tcBorders>
            <w:shd w:val="clear" w:color="auto" w:fill="A6A6A6" w:themeFill="background1" w:themeFillShade="A6"/>
            <w:vAlign w:val="center"/>
            <w:hideMark/>
          </w:tcPr>
          <w:p w:rsidR="001B57E5" w:rsidP="00DC15CD" w:rsidRDefault="001B57E5">
            <w:pPr>
              <w:pStyle w:val="BodyTextSpaceAfter"/>
              <w:spacing w:before="60" w:after="60"/>
              <w:jc w:val="center"/>
              <w:rPr>
                <w:color w:val="auto"/>
                <w:sz w:val="18"/>
                <w:szCs w:val="18"/>
              </w:rPr>
            </w:pPr>
            <w:r>
              <w:rPr>
                <w:i/>
                <w:color w:val="FFFFFF" w:themeColor="background1"/>
                <w:sz w:val="20"/>
                <w:szCs w:val="20"/>
              </w:rPr>
              <w:t>n</w:t>
            </w:r>
          </w:p>
        </w:tc>
        <w:tc>
          <w:tcPr>
            <w:tcW w:w="1445" w:type="dxa"/>
            <w:tcBorders>
              <w:top w:val="nil"/>
              <w:left w:val="nil"/>
              <w:bottom w:val="single" w:color="auto" w:sz="4" w:space="0"/>
              <w:right w:val="nil"/>
            </w:tcBorders>
            <w:shd w:val="clear" w:color="auto" w:fill="A6A6A6" w:themeFill="background1" w:themeFillShade="A6"/>
            <w:vAlign w:val="center"/>
            <w:hideMark/>
          </w:tcPr>
          <w:p w:rsidR="001B57E5" w:rsidP="00DC15CD" w:rsidRDefault="001B57E5">
            <w:pPr>
              <w:pStyle w:val="BodyTextSpaceAfter"/>
              <w:spacing w:before="60" w:after="60"/>
              <w:jc w:val="center"/>
              <w:rPr>
                <w:sz w:val="18"/>
                <w:szCs w:val="18"/>
              </w:rPr>
            </w:pPr>
            <w:r>
              <w:rPr>
                <w:color w:val="FFFFFF" w:themeColor="background1"/>
                <w:sz w:val="20"/>
                <w:szCs w:val="20"/>
              </w:rPr>
              <w:t>%</w:t>
            </w:r>
          </w:p>
        </w:tc>
        <w:tc>
          <w:tcPr>
            <w:tcW w:w="1447" w:type="dxa"/>
            <w:tcBorders>
              <w:top w:val="nil"/>
              <w:left w:val="nil"/>
              <w:bottom w:val="single" w:color="auto" w:sz="4" w:space="0"/>
              <w:right w:val="nil"/>
            </w:tcBorders>
            <w:shd w:val="clear" w:color="auto" w:fill="A6A6A6" w:themeFill="background1" w:themeFillShade="A6"/>
            <w:vAlign w:val="center"/>
            <w:hideMark/>
          </w:tcPr>
          <w:p w:rsidR="001B57E5" w:rsidP="00DC15CD" w:rsidRDefault="001B57E5">
            <w:pPr>
              <w:pStyle w:val="BodyTextSpaceAfter"/>
              <w:spacing w:before="60" w:after="60"/>
              <w:jc w:val="center"/>
              <w:rPr>
                <w:color w:val="auto"/>
                <w:sz w:val="18"/>
                <w:szCs w:val="18"/>
              </w:rPr>
            </w:pPr>
            <w:r>
              <w:rPr>
                <w:i/>
                <w:color w:val="FFFFFF" w:themeColor="background1"/>
                <w:sz w:val="20"/>
                <w:szCs w:val="20"/>
              </w:rPr>
              <w:t>n</w:t>
            </w:r>
          </w:p>
        </w:tc>
        <w:tc>
          <w:tcPr>
            <w:tcW w:w="1445" w:type="dxa"/>
            <w:tcBorders>
              <w:top w:val="nil"/>
              <w:left w:val="nil"/>
              <w:bottom w:val="single" w:color="auto" w:sz="4" w:space="0"/>
              <w:right w:val="nil"/>
            </w:tcBorders>
            <w:shd w:val="clear" w:color="auto" w:fill="A6A6A6" w:themeFill="background1" w:themeFillShade="A6"/>
            <w:vAlign w:val="center"/>
            <w:hideMark/>
          </w:tcPr>
          <w:p w:rsidR="001B57E5" w:rsidP="00DC15CD" w:rsidRDefault="001B57E5">
            <w:pPr>
              <w:pStyle w:val="BodyTextSpaceAfter"/>
              <w:spacing w:before="60" w:after="60"/>
              <w:jc w:val="center"/>
              <w:rPr>
                <w:sz w:val="18"/>
                <w:szCs w:val="18"/>
              </w:rPr>
            </w:pPr>
            <w:r>
              <w:rPr>
                <w:color w:val="FFFFFF" w:themeColor="background1"/>
                <w:sz w:val="20"/>
                <w:szCs w:val="20"/>
              </w:rPr>
              <w:t>%</w:t>
            </w:r>
          </w:p>
        </w:tc>
        <w:tc>
          <w:tcPr>
            <w:tcW w:w="1334" w:type="dxa"/>
            <w:tcBorders>
              <w:top w:val="nil"/>
              <w:left w:val="nil"/>
              <w:bottom w:val="single" w:color="auto" w:sz="4" w:space="0"/>
              <w:right w:val="single" w:color="auto" w:sz="4" w:space="0"/>
            </w:tcBorders>
            <w:shd w:val="clear" w:color="auto" w:fill="A6A6A6" w:themeFill="background1" w:themeFillShade="A6"/>
            <w:hideMark/>
          </w:tcPr>
          <w:p w:rsidR="001B57E5" w:rsidP="00DC15CD" w:rsidRDefault="001B57E5">
            <w:pPr>
              <w:pStyle w:val="BodyTextSpaceAfter"/>
              <w:spacing w:before="60" w:after="60"/>
              <w:jc w:val="center"/>
              <w:rPr>
                <w:sz w:val="18"/>
                <w:szCs w:val="18"/>
              </w:rPr>
            </w:pPr>
            <w:r>
              <w:rPr>
                <w:i/>
                <w:color w:val="FFFFFF" w:themeColor="background1"/>
                <w:sz w:val="20"/>
                <w:szCs w:val="20"/>
              </w:rPr>
              <w:t>p</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Firearms threatened/used</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15,322</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50.3</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89</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42.4</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.02</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Weapons (not firearms) used</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15,187</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50.1</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224</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54.5</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Not Significant</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Perpetrator has firearms license</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15,245</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50.4</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166</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36.8</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sidRPr="00341E10">
              <w:rPr>
                <w:sz w:val="18"/>
                <w:szCs w:val="18"/>
              </w:rPr>
              <w:t>Firearms present</w:t>
            </w:r>
          </w:p>
        </w:tc>
        <w:tc>
          <w:tcPr>
            <w:tcW w:w="1447" w:type="dxa"/>
            <w:tcBorders>
              <w:top w:val="single" w:color="auto" w:sz="4" w:space="0"/>
              <w:left w:val="nil"/>
              <w:bottom w:val="single" w:color="auto" w:sz="4" w:space="0"/>
              <w:right w:val="nil"/>
            </w:tcBorders>
            <w:shd w:val="clear" w:color="auto" w:fill="E4D2E2"/>
            <w:vAlign w:val="bottom"/>
          </w:tcPr>
          <w:p w:rsidR="001B57E5" w:rsidP="00DC15CD" w:rsidRDefault="001B57E5">
            <w:pPr>
              <w:pStyle w:val="BodyTextSpaceAfter"/>
              <w:spacing w:before="60" w:after="60"/>
              <w:jc w:val="center"/>
              <w:rPr>
                <w:color w:val="auto"/>
                <w:sz w:val="18"/>
                <w:szCs w:val="18"/>
              </w:rPr>
            </w:pPr>
          </w:p>
        </w:tc>
        <w:tc>
          <w:tcPr>
            <w:tcW w:w="1445" w:type="dxa"/>
            <w:tcBorders>
              <w:top w:val="single" w:color="auto" w:sz="4" w:space="0"/>
              <w:left w:val="nil"/>
              <w:bottom w:val="single" w:color="auto" w:sz="4" w:space="0"/>
              <w:right w:val="nil"/>
            </w:tcBorders>
            <w:shd w:val="clear" w:color="auto" w:fill="E4D2E2"/>
            <w:vAlign w:val="bottom"/>
          </w:tcPr>
          <w:p w:rsidR="001B57E5" w:rsidP="00DC15CD" w:rsidRDefault="001B57E5">
            <w:pPr>
              <w:pStyle w:val="BodyTextSpaceAfter"/>
              <w:spacing w:before="60" w:after="60"/>
              <w:jc w:val="center"/>
              <w:rPr>
                <w:sz w:val="18"/>
                <w:szCs w:val="18"/>
              </w:rPr>
            </w:pP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55</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36.9</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Harmed/threatened to harm AFM</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12,663</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48.6</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2,748</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59.2</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Choked AFM</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14,927</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50.0</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484</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56.8</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Threatened to kill AFM</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14,657</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49.8</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754</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58.8</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Harmed or threatened harm/kill children</w:t>
            </w:r>
          </w:p>
        </w:tc>
        <w:tc>
          <w:tcPr>
            <w:tcW w:w="1447" w:type="dxa"/>
            <w:tcBorders>
              <w:top w:val="single" w:color="auto" w:sz="4" w:space="0"/>
              <w:left w:val="nil"/>
              <w:bottom w:val="single" w:color="auto" w:sz="4" w:space="0"/>
              <w:right w:val="nil"/>
            </w:tcBorders>
            <w:shd w:val="clear" w:color="auto" w:fill="E4D2E2"/>
            <w:vAlign w:val="center"/>
            <w:hideMark/>
          </w:tcPr>
          <w:p w:rsidR="001B57E5" w:rsidP="00DC15CD" w:rsidRDefault="001B57E5">
            <w:pPr>
              <w:pStyle w:val="BodyTextSpaceAfter"/>
              <w:spacing w:before="60" w:after="60"/>
              <w:jc w:val="center"/>
              <w:rPr>
                <w:color w:val="auto"/>
                <w:sz w:val="18"/>
                <w:szCs w:val="18"/>
              </w:rPr>
            </w:pPr>
            <w:r>
              <w:rPr>
                <w:color w:val="auto"/>
                <w:sz w:val="18"/>
                <w:szCs w:val="18"/>
              </w:rPr>
              <w:t>15,213</w:t>
            </w:r>
          </w:p>
        </w:tc>
        <w:tc>
          <w:tcPr>
            <w:tcW w:w="1445" w:type="dxa"/>
            <w:tcBorders>
              <w:top w:val="single" w:color="auto" w:sz="4" w:space="0"/>
              <w:left w:val="nil"/>
              <w:bottom w:val="single" w:color="auto" w:sz="4" w:space="0"/>
              <w:right w:val="nil"/>
            </w:tcBorders>
            <w:shd w:val="clear" w:color="auto" w:fill="E4D2E2"/>
            <w:vAlign w:val="center"/>
            <w:hideMark/>
          </w:tcPr>
          <w:p w:rsidR="001B57E5" w:rsidP="00DC15CD" w:rsidRDefault="001B57E5">
            <w:pPr>
              <w:pStyle w:val="BodyTextSpaceAfter"/>
              <w:spacing w:before="60" w:after="60"/>
              <w:jc w:val="center"/>
              <w:rPr>
                <w:sz w:val="18"/>
                <w:szCs w:val="18"/>
              </w:rPr>
            </w:pPr>
            <w:r>
              <w:rPr>
                <w:sz w:val="18"/>
                <w:szCs w:val="18"/>
              </w:rPr>
              <w:t>50.1</w:t>
            </w:r>
          </w:p>
        </w:tc>
        <w:tc>
          <w:tcPr>
            <w:tcW w:w="1447" w:type="dxa"/>
            <w:tcBorders>
              <w:top w:val="single" w:color="auto" w:sz="4" w:space="0"/>
              <w:left w:val="nil"/>
              <w:bottom w:val="single" w:color="auto" w:sz="4" w:space="0"/>
              <w:right w:val="nil"/>
            </w:tcBorders>
            <w:vAlign w:val="center"/>
            <w:hideMark/>
          </w:tcPr>
          <w:p w:rsidR="001B57E5" w:rsidP="00DC15CD" w:rsidRDefault="001B57E5">
            <w:pPr>
              <w:pStyle w:val="BodyTextSpaceAfter"/>
              <w:spacing w:before="60" w:after="60"/>
              <w:jc w:val="center"/>
              <w:rPr>
                <w:color w:val="auto"/>
                <w:sz w:val="18"/>
                <w:szCs w:val="18"/>
              </w:rPr>
            </w:pPr>
            <w:r>
              <w:rPr>
                <w:color w:val="auto"/>
                <w:sz w:val="18"/>
                <w:szCs w:val="18"/>
              </w:rPr>
              <w:t>198</w:t>
            </w:r>
          </w:p>
        </w:tc>
        <w:tc>
          <w:tcPr>
            <w:tcW w:w="1445" w:type="dxa"/>
            <w:tcBorders>
              <w:top w:val="single" w:color="auto" w:sz="4" w:space="0"/>
              <w:left w:val="nil"/>
              <w:bottom w:val="single" w:color="auto" w:sz="4" w:space="0"/>
              <w:right w:val="nil"/>
            </w:tcBorders>
            <w:vAlign w:val="center"/>
            <w:hideMark/>
          </w:tcPr>
          <w:p w:rsidR="001B57E5" w:rsidP="00DC15CD" w:rsidRDefault="001B57E5">
            <w:pPr>
              <w:pStyle w:val="BodyTextSpaceAfter"/>
              <w:spacing w:before="60" w:after="60"/>
              <w:jc w:val="center"/>
              <w:rPr>
                <w:sz w:val="18"/>
                <w:szCs w:val="18"/>
              </w:rPr>
            </w:pPr>
            <w:r>
              <w:rPr>
                <w:sz w:val="18"/>
                <w:szCs w:val="18"/>
              </w:rPr>
              <w:t>55.0</w:t>
            </w:r>
          </w:p>
        </w:tc>
        <w:tc>
          <w:tcPr>
            <w:tcW w:w="1334" w:type="dxa"/>
            <w:tcBorders>
              <w:top w:val="single" w:color="auto" w:sz="4" w:space="0"/>
              <w:left w:val="nil"/>
              <w:bottom w:val="single" w:color="auto" w:sz="4" w:space="0"/>
              <w:right w:val="single" w:color="auto" w:sz="4" w:space="0"/>
            </w:tcBorders>
            <w:shd w:val="clear" w:color="auto" w:fill="E4D2E2"/>
            <w:vAlign w:val="center"/>
            <w:hideMark/>
          </w:tcPr>
          <w:p w:rsidR="001B57E5" w:rsidP="00DC15CD" w:rsidRDefault="001B57E5">
            <w:pPr>
              <w:pStyle w:val="BodyTextSpaceAfter"/>
              <w:spacing w:before="60" w:after="60"/>
              <w:jc w:val="center"/>
              <w:rPr>
                <w:sz w:val="18"/>
                <w:szCs w:val="18"/>
              </w:rPr>
            </w:pPr>
            <w:r>
              <w:rPr>
                <w:sz w:val="18"/>
                <w:szCs w:val="18"/>
              </w:rPr>
              <w:t>Not Significant</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Harmed or threatened harm/kill family</w:t>
            </w:r>
          </w:p>
        </w:tc>
        <w:tc>
          <w:tcPr>
            <w:tcW w:w="1447" w:type="dxa"/>
            <w:tcBorders>
              <w:top w:val="single" w:color="auto" w:sz="4" w:space="0"/>
              <w:left w:val="nil"/>
              <w:bottom w:val="single" w:color="auto" w:sz="4" w:space="0"/>
              <w:right w:val="nil"/>
            </w:tcBorders>
            <w:shd w:val="clear" w:color="auto" w:fill="E4D2E2"/>
            <w:vAlign w:val="center"/>
            <w:hideMark/>
          </w:tcPr>
          <w:p w:rsidR="001B57E5" w:rsidP="00DC15CD" w:rsidRDefault="001B57E5">
            <w:pPr>
              <w:pStyle w:val="BodyTextSpaceAfter"/>
              <w:spacing w:before="60" w:after="60"/>
              <w:jc w:val="center"/>
              <w:rPr>
                <w:color w:val="auto"/>
                <w:sz w:val="18"/>
                <w:szCs w:val="18"/>
              </w:rPr>
            </w:pPr>
            <w:r>
              <w:rPr>
                <w:color w:val="auto"/>
                <w:sz w:val="18"/>
                <w:szCs w:val="18"/>
              </w:rPr>
              <w:t>15,136</w:t>
            </w:r>
          </w:p>
        </w:tc>
        <w:tc>
          <w:tcPr>
            <w:tcW w:w="1445" w:type="dxa"/>
            <w:tcBorders>
              <w:top w:val="single" w:color="auto" w:sz="4" w:space="0"/>
              <w:left w:val="nil"/>
              <w:bottom w:val="single" w:color="auto" w:sz="4" w:space="0"/>
              <w:right w:val="nil"/>
            </w:tcBorders>
            <w:shd w:val="clear" w:color="auto" w:fill="E4D2E2"/>
            <w:vAlign w:val="center"/>
            <w:hideMark/>
          </w:tcPr>
          <w:p w:rsidR="001B57E5" w:rsidP="00DC15CD" w:rsidRDefault="001B57E5">
            <w:pPr>
              <w:pStyle w:val="BodyTextSpaceAfter"/>
              <w:spacing w:before="60" w:after="60"/>
              <w:jc w:val="center"/>
              <w:rPr>
                <w:sz w:val="18"/>
                <w:szCs w:val="18"/>
              </w:rPr>
            </w:pPr>
            <w:r>
              <w:rPr>
                <w:sz w:val="18"/>
                <w:szCs w:val="18"/>
              </w:rPr>
              <w:t>50.0</w:t>
            </w:r>
          </w:p>
        </w:tc>
        <w:tc>
          <w:tcPr>
            <w:tcW w:w="1447" w:type="dxa"/>
            <w:tcBorders>
              <w:top w:val="single" w:color="auto" w:sz="4" w:space="0"/>
              <w:left w:val="nil"/>
              <w:bottom w:val="single" w:color="auto" w:sz="4" w:space="0"/>
              <w:right w:val="nil"/>
            </w:tcBorders>
            <w:vAlign w:val="center"/>
            <w:hideMark/>
          </w:tcPr>
          <w:p w:rsidR="001B57E5" w:rsidP="00DC15CD" w:rsidRDefault="001B57E5">
            <w:pPr>
              <w:pStyle w:val="BodyTextSpaceAfter"/>
              <w:spacing w:before="60" w:after="60"/>
              <w:jc w:val="center"/>
              <w:rPr>
                <w:color w:val="auto"/>
                <w:sz w:val="18"/>
                <w:szCs w:val="18"/>
              </w:rPr>
            </w:pPr>
            <w:r>
              <w:rPr>
                <w:color w:val="auto"/>
                <w:sz w:val="18"/>
                <w:szCs w:val="18"/>
              </w:rPr>
              <w:t>275</w:t>
            </w:r>
          </w:p>
        </w:tc>
        <w:tc>
          <w:tcPr>
            <w:tcW w:w="1445" w:type="dxa"/>
            <w:tcBorders>
              <w:top w:val="single" w:color="auto" w:sz="4" w:space="0"/>
              <w:left w:val="nil"/>
              <w:bottom w:val="single" w:color="auto" w:sz="4" w:space="0"/>
              <w:right w:val="nil"/>
            </w:tcBorders>
            <w:vAlign w:val="center"/>
            <w:hideMark/>
          </w:tcPr>
          <w:p w:rsidR="001B57E5" w:rsidP="00DC15CD" w:rsidRDefault="001B57E5">
            <w:pPr>
              <w:pStyle w:val="BodyTextSpaceAfter"/>
              <w:spacing w:before="60" w:after="60"/>
              <w:jc w:val="center"/>
              <w:rPr>
                <w:sz w:val="18"/>
                <w:szCs w:val="18"/>
              </w:rPr>
            </w:pPr>
            <w:r>
              <w:rPr>
                <w:sz w:val="18"/>
                <w:szCs w:val="18"/>
              </w:rPr>
              <w:t>60.7</w:t>
            </w:r>
          </w:p>
        </w:tc>
        <w:tc>
          <w:tcPr>
            <w:tcW w:w="1334" w:type="dxa"/>
            <w:tcBorders>
              <w:top w:val="single" w:color="auto" w:sz="4" w:space="0"/>
              <w:left w:val="nil"/>
              <w:bottom w:val="single" w:color="auto" w:sz="4" w:space="0"/>
              <w:right w:val="single" w:color="auto" w:sz="4" w:space="0"/>
            </w:tcBorders>
            <w:shd w:val="clear" w:color="auto" w:fill="E4D2E2"/>
            <w:vAlign w:val="center"/>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Harmed or threatened harm/kill pets</w:t>
            </w:r>
          </w:p>
        </w:tc>
        <w:tc>
          <w:tcPr>
            <w:tcW w:w="1447" w:type="dxa"/>
            <w:tcBorders>
              <w:top w:val="single" w:color="auto" w:sz="4" w:space="0"/>
              <w:left w:val="nil"/>
              <w:bottom w:val="single" w:color="auto" w:sz="4" w:space="0"/>
              <w:right w:val="nil"/>
            </w:tcBorders>
            <w:shd w:val="clear" w:color="auto" w:fill="E4D2E2"/>
            <w:vAlign w:val="center"/>
            <w:hideMark/>
          </w:tcPr>
          <w:p w:rsidR="001B57E5" w:rsidP="00DC15CD" w:rsidRDefault="001B57E5">
            <w:pPr>
              <w:pStyle w:val="BodyTextSpaceAfter"/>
              <w:spacing w:before="60" w:after="60"/>
              <w:jc w:val="center"/>
              <w:rPr>
                <w:color w:val="auto"/>
                <w:sz w:val="18"/>
                <w:szCs w:val="18"/>
              </w:rPr>
            </w:pPr>
            <w:r>
              <w:rPr>
                <w:color w:val="auto"/>
                <w:sz w:val="18"/>
                <w:szCs w:val="18"/>
              </w:rPr>
              <w:t>15,328</w:t>
            </w:r>
          </w:p>
        </w:tc>
        <w:tc>
          <w:tcPr>
            <w:tcW w:w="1445" w:type="dxa"/>
            <w:tcBorders>
              <w:top w:val="single" w:color="auto" w:sz="4" w:space="0"/>
              <w:left w:val="nil"/>
              <w:bottom w:val="single" w:color="auto" w:sz="4" w:space="0"/>
              <w:right w:val="nil"/>
            </w:tcBorders>
            <w:shd w:val="clear" w:color="auto" w:fill="E4D2E2"/>
            <w:vAlign w:val="center"/>
            <w:hideMark/>
          </w:tcPr>
          <w:p w:rsidR="001B57E5" w:rsidP="00DC15CD" w:rsidRDefault="001B57E5">
            <w:pPr>
              <w:pStyle w:val="BodyTextSpaceAfter"/>
              <w:spacing w:before="60" w:after="60"/>
              <w:jc w:val="center"/>
              <w:rPr>
                <w:sz w:val="18"/>
                <w:szCs w:val="18"/>
              </w:rPr>
            </w:pPr>
            <w:r>
              <w:rPr>
                <w:sz w:val="18"/>
                <w:szCs w:val="18"/>
              </w:rPr>
              <w:t>50.2</w:t>
            </w:r>
          </w:p>
        </w:tc>
        <w:tc>
          <w:tcPr>
            <w:tcW w:w="1447" w:type="dxa"/>
            <w:tcBorders>
              <w:top w:val="single" w:color="auto" w:sz="4" w:space="0"/>
              <w:left w:val="nil"/>
              <w:bottom w:val="single" w:color="auto" w:sz="4" w:space="0"/>
              <w:right w:val="nil"/>
            </w:tcBorders>
            <w:vAlign w:val="center"/>
            <w:hideMark/>
          </w:tcPr>
          <w:p w:rsidR="001B57E5" w:rsidP="00DC15CD" w:rsidRDefault="001B57E5">
            <w:pPr>
              <w:pStyle w:val="BodyTextSpaceAfter"/>
              <w:spacing w:before="60" w:after="60"/>
              <w:jc w:val="center"/>
              <w:rPr>
                <w:color w:val="auto"/>
                <w:sz w:val="18"/>
                <w:szCs w:val="18"/>
              </w:rPr>
            </w:pPr>
            <w:r>
              <w:rPr>
                <w:color w:val="auto"/>
                <w:sz w:val="18"/>
                <w:szCs w:val="18"/>
              </w:rPr>
              <w:t>83</w:t>
            </w:r>
          </w:p>
        </w:tc>
        <w:tc>
          <w:tcPr>
            <w:tcW w:w="1445" w:type="dxa"/>
            <w:tcBorders>
              <w:top w:val="single" w:color="auto" w:sz="4" w:space="0"/>
              <w:left w:val="nil"/>
              <w:bottom w:val="single" w:color="auto" w:sz="4" w:space="0"/>
              <w:right w:val="nil"/>
            </w:tcBorders>
            <w:vAlign w:val="center"/>
            <w:hideMark/>
          </w:tcPr>
          <w:p w:rsidR="001B57E5" w:rsidP="00DC15CD" w:rsidRDefault="001B57E5">
            <w:pPr>
              <w:pStyle w:val="BodyTextSpaceAfter"/>
              <w:spacing w:before="60" w:after="60"/>
              <w:jc w:val="center"/>
              <w:rPr>
                <w:sz w:val="18"/>
                <w:szCs w:val="18"/>
              </w:rPr>
            </w:pPr>
            <w:r>
              <w:rPr>
                <w:sz w:val="18"/>
                <w:szCs w:val="18"/>
              </w:rPr>
              <w:t>60.1</w:t>
            </w:r>
          </w:p>
        </w:tc>
        <w:tc>
          <w:tcPr>
            <w:tcW w:w="1334" w:type="dxa"/>
            <w:tcBorders>
              <w:top w:val="single" w:color="auto" w:sz="4" w:space="0"/>
              <w:left w:val="nil"/>
              <w:bottom w:val="single" w:color="auto" w:sz="4" w:space="0"/>
              <w:right w:val="single" w:color="auto" w:sz="4" w:space="0"/>
            </w:tcBorders>
            <w:shd w:val="clear" w:color="auto" w:fill="E4D2E2"/>
            <w:vAlign w:val="center"/>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Suicidal ideas/attempted suicide</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14,887</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50.0</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524</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57.1</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 xml:space="preserve">Stalked AFM </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15,166</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50.2</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245</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53.6</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Not significant</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Sexual assault of AFM</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15,272</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50.4</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139</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37.9</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Breach of current/previous Intervention Order</w:t>
            </w:r>
          </w:p>
        </w:tc>
        <w:tc>
          <w:tcPr>
            <w:tcW w:w="1447" w:type="dxa"/>
            <w:tcBorders>
              <w:top w:val="single" w:color="auto" w:sz="4" w:space="0"/>
              <w:left w:val="nil"/>
              <w:bottom w:val="single" w:color="auto" w:sz="4" w:space="0"/>
              <w:right w:val="nil"/>
            </w:tcBorders>
            <w:shd w:val="clear" w:color="auto" w:fill="E4D2E2"/>
            <w:vAlign w:val="center"/>
            <w:hideMark/>
          </w:tcPr>
          <w:p w:rsidR="001B57E5" w:rsidP="00DC15CD" w:rsidRDefault="001B57E5">
            <w:pPr>
              <w:pStyle w:val="BodyTextSpaceAfter"/>
              <w:spacing w:before="60" w:after="60"/>
              <w:jc w:val="center"/>
              <w:rPr>
                <w:color w:val="auto"/>
                <w:sz w:val="18"/>
                <w:szCs w:val="18"/>
              </w:rPr>
            </w:pPr>
            <w:r>
              <w:rPr>
                <w:color w:val="auto"/>
                <w:sz w:val="18"/>
                <w:szCs w:val="18"/>
              </w:rPr>
              <w:t>14,676</w:t>
            </w:r>
          </w:p>
        </w:tc>
        <w:tc>
          <w:tcPr>
            <w:tcW w:w="1445" w:type="dxa"/>
            <w:tcBorders>
              <w:top w:val="single" w:color="auto" w:sz="4" w:space="0"/>
              <w:left w:val="nil"/>
              <w:bottom w:val="single" w:color="auto" w:sz="4" w:space="0"/>
              <w:right w:val="nil"/>
            </w:tcBorders>
            <w:shd w:val="clear" w:color="auto" w:fill="E4D2E2"/>
            <w:vAlign w:val="center"/>
            <w:hideMark/>
          </w:tcPr>
          <w:p w:rsidR="001B57E5" w:rsidP="00DC15CD" w:rsidRDefault="001B57E5">
            <w:pPr>
              <w:pStyle w:val="BodyTextSpaceAfter"/>
              <w:spacing w:before="60" w:after="60"/>
              <w:jc w:val="center"/>
              <w:rPr>
                <w:sz w:val="18"/>
                <w:szCs w:val="18"/>
              </w:rPr>
            </w:pPr>
            <w:r>
              <w:rPr>
                <w:sz w:val="18"/>
                <w:szCs w:val="18"/>
              </w:rPr>
              <w:t>49.5</w:t>
            </w:r>
          </w:p>
        </w:tc>
        <w:tc>
          <w:tcPr>
            <w:tcW w:w="1447" w:type="dxa"/>
            <w:tcBorders>
              <w:top w:val="single" w:color="auto" w:sz="4" w:space="0"/>
              <w:left w:val="nil"/>
              <w:bottom w:val="single" w:color="auto" w:sz="4" w:space="0"/>
              <w:right w:val="nil"/>
            </w:tcBorders>
            <w:vAlign w:val="center"/>
            <w:hideMark/>
          </w:tcPr>
          <w:p w:rsidR="001B57E5" w:rsidP="00DC15CD" w:rsidRDefault="001B57E5">
            <w:pPr>
              <w:pStyle w:val="BodyTextSpaceAfter"/>
              <w:spacing w:before="60" w:after="60"/>
              <w:jc w:val="center"/>
              <w:rPr>
                <w:color w:val="auto"/>
                <w:sz w:val="18"/>
                <w:szCs w:val="18"/>
              </w:rPr>
            </w:pPr>
            <w:r>
              <w:rPr>
                <w:color w:val="auto"/>
                <w:sz w:val="18"/>
                <w:szCs w:val="18"/>
              </w:rPr>
              <w:t>735</w:t>
            </w:r>
          </w:p>
        </w:tc>
        <w:tc>
          <w:tcPr>
            <w:tcW w:w="1445" w:type="dxa"/>
            <w:tcBorders>
              <w:top w:val="single" w:color="auto" w:sz="4" w:space="0"/>
              <w:left w:val="nil"/>
              <w:bottom w:val="single" w:color="auto" w:sz="4" w:space="0"/>
              <w:right w:val="nil"/>
            </w:tcBorders>
            <w:vAlign w:val="center"/>
            <w:hideMark/>
          </w:tcPr>
          <w:p w:rsidR="001B57E5" w:rsidP="00DC15CD" w:rsidRDefault="001B57E5">
            <w:pPr>
              <w:pStyle w:val="BodyTextSpaceAfter"/>
              <w:spacing w:before="60" w:after="60"/>
              <w:jc w:val="center"/>
              <w:rPr>
                <w:sz w:val="18"/>
                <w:szCs w:val="18"/>
              </w:rPr>
            </w:pPr>
            <w:r>
              <w:rPr>
                <w:sz w:val="18"/>
                <w:szCs w:val="18"/>
              </w:rPr>
              <w:t>69.1</w:t>
            </w:r>
          </w:p>
        </w:tc>
        <w:tc>
          <w:tcPr>
            <w:tcW w:w="1334" w:type="dxa"/>
            <w:tcBorders>
              <w:top w:val="single" w:color="auto" w:sz="4" w:space="0"/>
              <w:left w:val="nil"/>
              <w:bottom w:val="single" w:color="auto" w:sz="4" w:space="0"/>
              <w:right w:val="single" w:color="auto" w:sz="4" w:space="0"/>
            </w:tcBorders>
            <w:shd w:val="clear" w:color="auto" w:fill="E4D2E2"/>
            <w:vAlign w:val="center"/>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Alcohol use possible</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12,805</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49.2</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2,606</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55.9</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Alcohol use definite</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11,295</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48.4</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4,116</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56.0</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Drug use possible</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12,372</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47.6</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3,039</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64.3</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Drug use definite</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14,498</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49.4</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913</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66.7</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Controlling behaviours</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12,902</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49.7</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2,509</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53.2</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Unemployment</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13,744</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49.0</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1,667</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63.7</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Depression/mental health issue</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13,098</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49.4</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2,313</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55.7</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r w:rsidR="001B57E5" w:rsidTr="00DC15CD">
        <w:tc>
          <w:tcPr>
            <w:tcW w:w="2489" w:type="dxa"/>
            <w:tcBorders>
              <w:top w:val="single" w:color="auto" w:sz="4" w:space="0"/>
              <w:left w:val="single" w:color="auto" w:sz="4" w:space="0"/>
              <w:bottom w:val="single" w:color="auto" w:sz="4" w:space="0"/>
              <w:right w:val="nil"/>
            </w:tcBorders>
            <w:hideMark/>
          </w:tcPr>
          <w:p w:rsidR="001B57E5" w:rsidP="00DC15CD" w:rsidRDefault="001B57E5">
            <w:pPr>
              <w:pStyle w:val="BodyTextSpaceAfter"/>
              <w:spacing w:before="60" w:after="60"/>
              <w:rPr>
                <w:sz w:val="18"/>
                <w:szCs w:val="18"/>
              </w:rPr>
            </w:pPr>
            <w:r>
              <w:rPr>
                <w:sz w:val="18"/>
                <w:szCs w:val="18"/>
              </w:rPr>
              <w:t>History of violent behaviour</w:t>
            </w:r>
          </w:p>
        </w:tc>
        <w:tc>
          <w:tcPr>
            <w:tcW w:w="1447"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13,994</w:t>
            </w:r>
          </w:p>
        </w:tc>
        <w:tc>
          <w:tcPr>
            <w:tcW w:w="1445" w:type="dxa"/>
            <w:tcBorders>
              <w:top w:val="single" w:color="auto" w:sz="4" w:space="0"/>
              <w:left w:val="nil"/>
              <w:bottom w:val="single" w:color="auto" w:sz="4" w:space="0"/>
              <w:right w:val="nil"/>
            </w:tcBorders>
            <w:shd w:val="clear" w:color="auto" w:fill="E4D2E2"/>
            <w:vAlign w:val="bottom"/>
            <w:hideMark/>
          </w:tcPr>
          <w:p w:rsidR="001B57E5" w:rsidP="00DC15CD" w:rsidRDefault="001B57E5">
            <w:pPr>
              <w:pStyle w:val="BodyTextSpaceAfter"/>
              <w:spacing w:before="60" w:after="60"/>
              <w:jc w:val="center"/>
              <w:rPr>
                <w:sz w:val="18"/>
                <w:szCs w:val="18"/>
              </w:rPr>
            </w:pPr>
            <w:r>
              <w:rPr>
                <w:sz w:val="18"/>
                <w:szCs w:val="18"/>
              </w:rPr>
              <w:t>49.1</w:t>
            </w:r>
          </w:p>
        </w:tc>
        <w:tc>
          <w:tcPr>
            <w:tcW w:w="1447"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color w:val="auto"/>
                <w:sz w:val="18"/>
                <w:szCs w:val="18"/>
              </w:rPr>
            </w:pPr>
            <w:r>
              <w:rPr>
                <w:color w:val="auto"/>
                <w:sz w:val="18"/>
                <w:szCs w:val="18"/>
              </w:rPr>
              <w:t>1,417</w:t>
            </w:r>
          </w:p>
        </w:tc>
        <w:tc>
          <w:tcPr>
            <w:tcW w:w="1445" w:type="dxa"/>
            <w:tcBorders>
              <w:top w:val="single" w:color="auto" w:sz="4" w:space="0"/>
              <w:left w:val="nil"/>
              <w:bottom w:val="single" w:color="auto" w:sz="4" w:space="0"/>
              <w:right w:val="nil"/>
            </w:tcBorders>
            <w:vAlign w:val="bottom"/>
            <w:hideMark/>
          </w:tcPr>
          <w:p w:rsidR="001B57E5" w:rsidP="00DC15CD" w:rsidRDefault="001B57E5">
            <w:pPr>
              <w:pStyle w:val="BodyTextSpaceAfter"/>
              <w:spacing w:before="60" w:after="60"/>
              <w:jc w:val="center"/>
              <w:rPr>
                <w:sz w:val="18"/>
                <w:szCs w:val="18"/>
              </w:rPr>
            </w:pPr>
            <w:r>
              <w:rPr>
                <w:sz w:val="18"/>
                <w:szCs w:val="18"/>
              </w:rPr>
              <w:t>65.7</w:t>
            </w:r>
          </w:p>
        </w:tc>
        <w:tc>
          <w:tcPr>
            <w:tcW w:w="1334" w:type="dxa"/>
            <w:tcBorders>
              <w:top w:val="single" w:color="auto" w:sz="4" w:space="0"/>
              <w:left w:val="nil"/>
              <w:bottom w:val="single" w:color="auto" w:sz="4" w:space="0"/>
              <w:right w:val="single" w:color="auto" w:sz="4" w:space="0"/>
            </w:tcBorders>
            <w:shd w:val="clear" w:color="auto" w:fill="E4D2E2"/>
            <w:hideMark/>
          </w:tcPr>
          <w:p w:rsidR="001B57E5" w:rsidP="00DC15CD" w:rsidRDefault="001B57E5">
            <w:pPr>
              <w:pStyle w:val="BodyTextSpaceAfter"/>
              <w:spacing w:before="60" w:after="60"/>
              <w:jc w:val="center"/>
              <w:rPr>
                <w:sz w:val="18"/>
                <w:szCs w:val="18"/>
              </w:rPr>
            </w:pPr>
            <w:r>
              <w:rPr>
                <w:sz w:val="18"/>
                <w:szCs w:val="18"/>
              </w:rPr>
              <w:t>&lt;.001</w:t>
            </w:r>
          </w:p>
        </w:tc>
      </w:tr>
    </w:tbl>
    <w:p w:rsidRPr="00DF709D"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Finally, analyses were conducted to determine whether there were bivariate relationships between police actions recorded on the L17 and whether a perpetrator goes on to be recorded for a recidivism incident. All actions taken by police that had significant relationships with recidivism were associated with a slightly increased likelihood of recidivism, with the exception of informal referrals for both perpetrators and victims, and revocation of firearms licenses. For example, of all perpetrators where police recorded the criminal action ‘charges pending (breach and other)’, 68%</w:t>
      </w:r>
      <w:r>
        <w:rPr>
          <w:rFonts w:ascii="Roboto Condensed Light" w:hAnsi="Roboto Condensed Light" w:eastAsia="MS Mincho" w:cs="Times New Roman"/>
        </w:rPr>
        <w:t xml:space="preserve"> (n=349)</w:t>
      </w:r>
      <w:r w:rsidRPr="00DF709D">
        <w:rPr>
          <w:rFonts w:ascii="Roboto Condensed Light" w:hAnsi="Roboto Condensed Light" w:eastAsia="MS Mincho" w:cs="Times New Roman"/>
        </w:rPr>
        <w:t xml:space="preserve"> were recorded for a recidivism incident, whereas when police did not record this action, 50%</w:t>
      </w:r>
      <w:r>
        <w:rPr>
          <w:rFonts w:ascii="Roboto Condensed Light" w:hAnsi="Roboto Condensed Light" w:eastAsia="MS Mincho" w:cs="Times New Roman"/>
        </w:rPr>
        <w:t xml:space="preserve"> (n=15,062)</w:t>
      </w:r>
      <w:r w:rsidRPr="00DF709D">
        <w:rPr>
          <w:rFonts w:ascii="Roboto Condensed Light" w:hAnsi="Roboto Condensed Light" w:eastAsia="MS Mincho" w:cs="Times New Roman"/>
        </w:rPr>
        <w:t xml:space="preserve"> went on to be recorded for a recidivism incident. </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A significant relationship was found between whether recorded criminal offences arose from the index incident and recidivism, though the size of the relationship was very small. Where offences were recorded, 51% (n=4,800) of perpetrators were recorded for a recidivism incident, whereas where no offences were recorded 50% (n=10,611) were recorded for a recidivism incident.</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r>
        <w:rPr>
          <w:rFonts w:ascii="Roboto Condensed Light" w:hAnsi="Roboto Condensed Light" w:eastAsia="MS Mincho" w:cs="Times New Roman"/>
          <w:b/>
        </w:rPr>
        <w:t>Final recidivism model</w:t>
      </w:r>
    </w:p>
    <w:p w:rsidRPr="00DF709D"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All of the factors that were identified as having significant bivariate relationships with likelihood of recidivism in the previous section were included in a logistic regression model to explore which combination of these variables had the most predictive validity in determining who, following their index incident, went on to be recorded for a recidivism incident. The final model excludes any variables that do not have any relationship with recidivism, when the effects of all other possible predictor variables are taken into account. </w:t>
      </w:r>
    </w:p>
    <w:p w:rsidRPr="00DF709D"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Note that this technique excludes perpetrators</w:t>
      </w:r>
      <w:r>
        <w:rPr>
          <w:rFonts w:ascii="Roboto Condensed Light" w:hAnsi="Roboto Condensed Light" w:eastAsia="MS Mincho" w:cs="Times New Roman"/>
        </w:rPr>
        <w:t xml:space="preserve"> who had missing data on one or</w:t>
      </w:r>
      <w:r w:rsidRPr="00DF709D">
        <w:rPr>
          <w:rFonts w:ascii="Roboto Condensed Light" w:hAnsi="Roboto Condensed Light" w:eastAsia="MS Mincho" w:cs="Times New Roman"/>
        </w:rPr>
        <w:t xml:space="preserve"> more of the variables included in the model. The final model was based on 17,792 perpetrators. The majority of perpetrators excluded were missing data on police assessment of risk of future violence at the index incident. </w:t>
      </w:r>
    </w:p>
    <w:p w:rsidRPr="00DF709D"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The overall adequacy of the model was assessed according to its ability to discriminate between those perpetrators who went on to be recorded for a recidivism incident and those who were not, using the ROC Area </w:t>
      </w:r>
      <w:proofErr w:type="gramStart"/>
      <w:r w:rsidRPr="00DF709D">
        <w:rPr>
          <w:rFonts w:ascii="Roboto Condensed Light" w:hAnsi="Roboto Condensed Light" w:eastAsia="MS Mincho" w:cs="Times New Roman"/>
        </w:rPr>
        <w:t>Under</w:t>
      </w:r>
      <w:proofErr w:type="gramEnd"/>
      <w:r w:rsidRPr="00DF709D">
        <w:rPr>
          <w:rFonts w:ascii="Roboto Condensed Light" w:hAnsi="Roboto Condensed Light" w:eastAsia="MS Mincho" w:cs="Times New Roman"/>
        </w:rPr>
        <w:t xml:space="preserve"> the Curve statistic (AUC). In other words, this statistic can be interpreted as the likelihood that the model will produce a higher predicted probability of recidivism for recidivist perpetrators compared with non-recidivist perpetrators. The better the model’s overall ability to discriminate between recidivist and non-recidivist perpetrators, the more accuracy the model, (and the information on factors included in the model as recorded by police at the index incident), have in predicting recidivism. An AUC of 0.5 indicates the model has no ability to discriminate, an AUC between 0.7 and 0.8 indicates acceptable ability to discriminate, an AUC between 0.8 and 0.9 is considered to have excellent ability to discriminate, and an AUC greater than 0.9 is considered to have outstanding </w:t>
      </w:r>
      <w:r w:rsidRPr="00F111D2">
        <w:rPr>
          <w:rFonts w:ascii="Roboto Condensed Light" w:hAnsi="Roboto Condensed Light" w:eastAsia="MS Mincho" w:cs="Times New Roman"/>
        </w:rPr>
        <w:t>discrimination (</w:t>
      </w:r>
      <w:proofErr w:type="spellStart"/>
      <w:r w:rsidRPr="00F111D2">
        <w:rPr>
          <w:rFonts w:ascii="Roboto Condensed Light" w:hAnsi="Roboto Condensed Light" w:eastAsia="MS Mincho" w:cs="Times New Roman"/>
        </w:rPr>
        <w:t>Hosmer</w:t>
      </w:r>
      <w:proofErr w:type="spellEnd"/>
      <w:r w:rsidRPr="00F111D2">
        <w:rPr>
          <w:rFonts w:ascii="Roboto Condensed Light" w:hAnsi="Roboto Condensed Light" w:eastAsia="MS Mincho" w:cs="Times New Roman"/>
        </w:rPr>
        <w:t xml:space="preserve"> and </w:t>
      </w:r>
      <w:proofErr w:type="spellStart"/>
      <w:r w:rsidRPr="00F111D2">
        <w:rPr>
          <w:rFonts w:ascii="Roboto Condensed Light" w:hAnsi="Roboto Condensed Light" w:eastAsia="MS Mincho" w:cs="Times New Roman"/>
        </w:rPr>
        <w:t>Lemeshow</w:t>
      </w:r>
      <w:proofErr w:type="spellEnd"/>
      <w:r w:rsidRPr="00F111D2">
        <w:rPr>
          <w:rFonts w:ascii="Roboto Condensed Light" w:hAnsi="Roboto Condensed Light" w:eastAsia="MS Mincho" w:cs="Times New Roman"/>
        </w:rPr>
        <w:t>, 2000). The AUC for the final model presented here was 0.72 (95% Confidence Interval: 0.71, 0.73), indicating that there is a 72% chance th</w:t>
      </w:r>
      <w:r w:rsidRPr="00DF709D">
        <w:rPr>
          <w:rFonts w:ascii="Roboto Condensed Light" w:hAnsi="Roboto Condensed Light" w:eastAsia="MS Mincho" w:cs="Times New Roman"/>
        </w:rPr>
        <w:t>at the final recidivism model will produce a higher probability of recidivism for recidivist perpetrators in</w:t>
      </w:r>
      <w:r>
        <w:rPr>
          <w:rFonts w:ascii="Roboto Condensed Light" w:hAnsi="Roboto Condensed Light" w:eastAsia="MS Mincho" w:cs="Times New Roman"/>
        </w:rPr>
        <w:t xml:space="preserve"> the 2010–</w:t>
      </w:r>
      <w:r w:rsidRPr="00DF709D">
        <w:rPr>
          <w:rFonts w:ascii="Roboto Condensed Light" w:hAnsi="Roboto Condensed Light" w:eastAsia="MS Mincho" w:cs="Times New Roman"/>
        </w:rPr>
        <w:t xml:space="preserve">11 cohort, and the model has acceptable ability to discriminate between those who will and will not go on to be recorded for a recidivism incident. </w:t>
      </w:r>
    </w:p>
    <w:p w:rsidRPr="00DF709D"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The final predictor variables included in the model are presented in Table </w:t>
      </w:r>
      <w:r>
        <w:rPr>
          <w:rFonts w:ascii="Roboto Condensed Light" w:hAnsi="Roboto Condensed Light" w:eastAsia="MS Mincho" w:cs="Times New Roman"/>
        </w:rPr>
        <w:t>5</w:t>
      </w:r>
      <w:r w:rsidRPr="00DF709D">
        <w:rPr>
          <w:rFonts w:ascii="Roboto Condensed Light" w:hAnsi="Roboto Condensed Light" w:eastAsia="MS Mincho" w:cs="Times New Roman"/>
        </w:rPr>
        <w:t xml:space="preserve">. These are the factors that contribute significantly to predicting recidivism, taking into account the effects of all other variables included in the model. The odds ratio column can be interpreted as the likelihood that a perpetrator with that characteristic will go on to be recorded for a recidivism incident. For example, males were 1.53 times more likely to be recorded for a recidivism incident than females. </w:t>
      </w:r>
    </w:p>
    <w:p w:rsidRPr="00DF709D"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In summary, the o</w:t>
      </w:r>
      <w:r>
        <w:rPr>
          <w:rFonts w:ascii="Roboto Condensed Light" w:hAnsi="Roboto Condensed Light" w:eastAsia="MS Mincho" w:cs="Times New Roman"/>
        </w:rPr>
        <w:t>dds ratios presented in Table 5</w:t>
      </w:r>
      <w:r w:rsidRPr="00DF709D">
        <w:rPr>
          <w:rFonts w:ascii="Roboto Condensed Light" w:hAnsi="Roboto Condensed Light" w:eastAsia="MS Mincho" w:cs="Times New Roman"/>
        </w:rPr>
        <w:t xml:space="preserve"> indicate that: </w:t>
      </w:r>
    </w:p>
    <w:p w:rsidRPr="00DF709D" w:rsidR="001B57E5" w:rsidP="001B57E5" w:rsidRDefault="001B57E5">
      <w:pPr>
        <w:pStyle w:val="ListParagraph"/>
        <w:widowControl w:val="false"/>
        <w:numPr>
          <w:ilvl w:val="0"/>
          <w:numId w:val="16"/>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Perpetrators recorded for a recidivism incident are more likely to be male than female. </w:t>
      </w:r>
    </w:p>
    <w:p w:rsidRPr="00DF709D" w:rsidR="001B57E5" w:rsidP="001B57E5" w:rsidRDefault="001B57E5">
      <w:pPr>
        <w:pStyle w:val="ListParagraph"/>
        <w:widowControl w:val="false"/>
        <w:numPr>
          <w:ilvl w:val="0"/>
          <w:numId w:val="16"/>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For every year of increase in age at time of incident, the likelihood of being recorded for a recidivism incident decreases slightly. </w:t>
      </w:r>
    </w:p>
    <w:p w:rsidRPr="00DF709D" w:rsidR="001B57E5" w:rsidP="001B57E5" w:rsidRDefault="001B57E5">
      <w:pPr>
        <w:pStyle w:val="ListParagraph"/>
        <w:widowControl w:val="false"/>
        <w:numPr>
          <w:ilvl w:val="0"/>
          <w:numId w:val="16"/>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Perpetrators whose index incident is against a current or former partner are more likely to be recorded for a recidivism incident than those whose index incident is against another type of family member. </w:t>
      </w:r>
    </w:p>
    <w:p w:rsidRPr="00DF709D" w:rsidR="001B57E5" w:rsidP="001B57E5" w:rsidRDefault="001B57E5">
      <w:pPr>
        <w:pStyle w:val="ListParagraph"/>
        <w:widowControl w:val="false"/>
        <w:numPr>
          <w:ilvl w:val="0"/>
          <w:numId w:val="16"/>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Perpetrators with one to two prior recorded family incidents are 2.26 times more likely to be recorded for a recidivism incident than those with no prior recorded incidents, and perpetrators with three or more prior recorded incidents are 4.5 times more likely to be recorded for a recidivism incident. </w:t>
      </w:r>
    </w:p>
    <w:p w:rsidRPr="00DF709D" w:rsidR="001B57E5" w:rsidP="001B57E5" w:rsidRDefault="001B57E5">
      <w:pPr>
        <w:pStyle w:val="ListParagraph"/>
        <w:widowControl w:val="false"/>
        <w:numPr>
          <w:ilvl w:val="0"/>
          <w:numId w:val="16"/>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Perpetrators with a prior recorded offence for a breach of a family violence </w:t>
      </w:r>
      <w:r>
        <w:rPr>
          <w:rFonts w:ascii="Roboto Condensed Light" w:hAnsi="Roboto Condensed Light" w:eastAsia="MS Mincho" w:cs="Times New Roman"/>
        </w:rPr>
        <w:t xml:space="preserve">intervention order </w:t>
      </w:r>
      <w:r w:rsidRPr="00DF709D">
        <w:rPr>
          <w:rFonts w:ascii="Roboto Condensed Light" w:hAnsi="Roboto Condensed Light" w:eastAsia="MS Mincho" w:cs="Times New Roman"/>
        </w:rPr>
        <w:t xml:space="preserve">are more likely to be recorded for a recidivism incident. </w:t>
      </w:r>
    </w:p>
    <w:p w:rsidRPr="00DF709D" w:rsidR="001B57E5" w:rsidP="001B57E5" w:rsidRDefault="001B57E5">
      <w:pPr>
        <w:pStyle w:val="ListParagraph"/>
        <w:widowControl w:val="false"/>
        <w:numPr>
          <w:ilvl w:val="0"/>
          <w:numId w:val="16"/>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Where police assess future risk of violence as ‘likely’ at the index incident, perpetrators are more likely to be recorded for a recidivism incident. </w:t>
      </w:r>
    </w:p>
    <w:p w:rsidRPr="00DF709D" w:rsidR="001B57E5" w:rsidP="001B57E5" w:rsidRDefault="001B57E5">
      <w:pPr>
        <w:pStyle w:val="ListParagraph"/>
        <w:widowControl w:val="false"/>
        <w:numPr>
          <w:ilvl w:val="0"/>
          <w:numId w:val="16"/>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If recorded criminal offences arose from the index incident, perpetrators were slightly less likely to be recorded for a recidivism incident. </w:t>
      </w:r>
    </w:p>
    <w:p w:rsidRPr="00DF709D" w:rsidR="001B57E5" w:rsidP="001B57E5" w:rsidRDefault="001B57E5">
      <w:pPr>
        <w:pStyle w:val="ListParagraph"/>
        <w:widowControl w:val="false"/>
        <w:numPr>
          <w:ilvl w:val="0"/>
          <w:numId w:val="18"/>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Recidivist perpetrators were more likely to have the following risk factors recorded by police at the time of their index incident: perpetrator unemployed; perpetrator depression/mental health issue; victim pregnancy or new birth; escalation – increase in severity or frequency; perpetrator drug use possible or definite; and/or victim alcohol use possible or definite. </w:t>
      </w:r>
    </w:p>
    <w:p w:rsidRPr="00DF709D" w:rsidR="001B57E5" w:rsidP="001B57E5" w:rsidRDefault="001B57E5">
      <w:pPr>
        <w:pStyle w:val="ListParagraph"/>
        <w:widowControl w:val="false"/>
        <w:numPr>
          <w:ilvl w:val="0"/>
          <w:numId w:val="18"/>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Perpetrators were less likely to be recorded for a recidivism incident when police recorded victim social isolation or perpetrator possession of a firearms license at the index incident. </w:t>
      </w:r>
    </w:p>
    <w:p w:rsidRPr="00DF709D" w:rsidR="001B57E5" w:rsidP="001B57E5" w:rsidRDefault="001B57E5">
      <w:pPr>
        <w:pStyle w:val="ListParagraph"/>
        <w:widowControl w:val="false"/>
        <w:numPr>
          <w:ilvl w:val="0"/>
          <w:numId w:val="18"/>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Presence of children at the index incident was associated with a higher likelihood of recidivism. </w:t>
      </w:r>
    </w:p>
    <w:p w:rsidRPr="00DF709D" w:rsidR="001B57E5" w:rsidP="001B57E5" w:rsidRDefault="001B57E5">
      <w:pPr>
        <w:pStyle w:val="ListParagraph"/>
        <w:widowControl w:val="false"/>
        <w:numPr>
          <w:ilvl w:val="0"/>
          <w:numId w:val="18"/>
        </w:numPr>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DF709D">
        <w:rPr>
          <w:rFonts w:ascii="Roboto Condensed Light" w:hAnsi="Roboto Condensed Light" w:eastAsia="MS Mincho" w:cs="Times New Roman"/>
        </w:rPr>
        <w:t xml:space="preserve">The only police recorded action on the L17 form at the index incident that contributed significantly to predicting recidivism in the final model was for criminal charges pending for a breach of a family violence order. Where this action was recorded, it was associated with an increased likelihood of recidivism. </w:t>
      </w:r>
    </w:p>
    <w:p w:rsidR="001B57E5" w:rsidP="001B57E5" w:rsidRDefault="001B57E5">
      <w:pPr>
        <w:pStyle w:val="TableHeading"/>
      </w:pPr>
      <w:r>
        <w:t>Table 5: Logistic regression model comparing odds of recidivism versus no recidivism</w:t>
      </w:r>
    </w:p>
    <w:tbl>
      <w:tblPr>
        <w:tblStyle w:val="TableGrid"/>
        <w:tblW w:w="9885" w:type="dxa"/>
        <w:tblLayout w:type="fixed"/>
        <w:tblLook w:firstRow="1" w:lastRow="0" w:firstColumn="1" w:lastColumn="0" w:noHBand="0" w:noVBand="1" w:val="04A0"/>
      </w:tblPr>
      <w:tblGrid>
        <w:gridCol w:w="5069"/>
        <w:gridCol w:w="1605"/>
        <w:gridCol w:w="1605"/>
        <w:gridCol w:w="1606"/>
      </w:tblGrid>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001B57E5" w:rsidP="00DC15CD" w:rsidRDefault="001B57E5">
            <w:pPr>
              <w:pStyle w:val="NoSpacing"/>
              <w:rPr>
                <w:rFonts w:ascii="Roboto Condensed Light" w:hAnsi="Roboto Condensed Light"/>
                <w:color w:val="FFFFFF" w:themeColor="background1"/>
                <w:sz w:val="22"/>
                <w:szCs w:val="22"/>
              </w:rPr>
            </w:pPr>
            <w:r>
              <w:rPr>
                <w:rFonts w:ascii="Roboto Condensed Light" w:hAnsi="Roboto Condensed Light"/>
                <w:color w:val="FFFFFF" w:themeColor="background1"/>
                <w:sz w:val="22"/>
                <w:szCs w:val="22"/>
              </w:rPr>
              <w:t>Predictor</w:t>
            </w:r>
          </w:p>
        </w:tc>
        <w:tc>
          <w:tcPr>
            <w:tcW w:w="1606"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001B57E5" w:rsidP="00DC15CD" w:rsidRDefault="001B57E5">
            <w:pPr>
              <w:pStyle w:val="NoSpacing"/>
              <w:jc w:val="center"/>
              <w:rPr>
                <w:rFonts w:ascii="Roboto Condensed Light" w:hAnsi="Roboto Condensed Light"/>
                <w:color w:val="FFFFFF" w:themeColor="background1"/>
                <w:sz w:val="22"/>
                <w:szCs w:val="22"/>
              </w:rPr>
            </w:pPr>
            <w:r>
              <w:rPr>
                <w:rFonts w:ascii="Roboto Condensed Light" w:hAnsi="Roboto Condensed Light"/>
                <w:color w:val="FFFFFF" w:themeColor="background1"/>
                <w:sz w:val="22"/>
                <w:szCs w:val="22"/>
              </w:rPr>
              <w:t>Odds Ratio</w:t>
            </w:r>
          </w:p>
        </w:tc>
        <w:tc>
          <w:tcPr>
            <w:tcW w:w="1606" w:type="dxa"/>
            <w:tcBorders>
              <w:top w:val="single" w:color="auto" w:sz="4" w:space="0"/>
              <w:left w:val="single" w:color="auto" w:sz="4" w:space="0"/>
              <w:bottom w:val="single" w:color="auto" w:sz="4" w:space="0"/>
              <w:right w:val="nil"/>
            </w:tcBorders>
            <w:shd w:val="clear" w:color="auto" w:fill="A6A6A6" w:themeFill="background1" w:themeFillShade="A6"/>
            <w:vAlign w:val="center"/>
            <w:hideMark/>
          </w:tcPr>
          <w:p w:rsidR="001B57E5" w:rsidP="00DC15CD" w:rsidRDefault="001B57E5">
            <w:pPr>
              <w:pStyle w:val="NoSpacing"/>
              <w:jc w:val="center"/>
              <w:rPr>
                <w:rFonts w:ascii="Roboto Condensed Light" w:hAnsi="Roboto Condensed Light"/>
                <w:color w:val="FFFFFF" w:themeColor="background1"/>
                <w:sz w:val="22"/>
                <w:szCs w:val="22"/>
              </w:rPr>
            </w:pPr>
            <w:r>
              <w:rPr>
                <w:rFonts w:ascii="Roboto Condensed Light" w:hAnsi="Roboto Condensed Light"/>
                <w:color w:val="FFFFFF" w:themeColor="background1"/>
                <w:sz w:val="22"/>
                <w:szCs w:val="22"/>
              </w:rPr>
              <w:t>95% Confidence Interval of the Odds Ratio</w:t>
            </w:r>
          </w:p>
        </w:tc>
        <w:tc>
          <w:tcPr>
            <w:tcW w:w="1607" w:type="dxa"/>
            <w:tcBorders>
              <w:top w:val="single" w:color="auto" w:sz="4" w:space="0"/>
              <w:left w:val="nil"/>
              <w:bottom w:val="single" w:color="auto" w:sz="4" w:space="0"/>
              <w:right w:val="single" w:color="auto" w:sz="4" w:space="0"/>
            </w:tcBorders>
            <w:shd w:val="clear" w:color="auto" w:fill="A6A6A6" w:themeFill="background1" w:themeFillShade="A6"/>
            <w:vAlign w:val="center"/>
            <w:hideMark/>
          </w:tcPr>
          <w:p w:rsidR="001B57E5" w:rsidP="00DC15CD" w:rsidRDefault="001B57E5">
            <w:pPr>
              <w:pStyle w:val="NoSpacing"/>
              <w:jc w:val="center"/>
              <w:rPr>
                <w:rFonts w:ascii="Roboto Condensed Light" w:hAnsi="Roboto Condensed Light"/>
                <w:color w:val="FFFFFF" w:themeColor="background1"/>
                <w:sz w:val="22"/>
                <w:szCs w:val="22"/>
              </w:rPr>
            </w:pPr>
            <w:r>
              <w:rPr>
                <w:rFonts w:ascii="Roboto Condensed Light" w:hAnsi="Roboto Condensed Light"/>
                <w:color w:val="FFFFFF" w:themeColor="background1"/>
                <w:sz w:val="22"/>
                <w:szCs w:val="22"/>
              </w:rPr>
              <w:t>Significance level (</w:t>
            </w:r>
            <w:r>
              <w:rPr>
                <w:rFonts w:ascii="Roboto Condensed Light" w:hAnsi="Roboto Condensed Light"/>
                <w:i/>
                <w:color w:val="FFFFFF" w:themeColor="background1"/>
                <w:sz w:val="22"/>
                <w:szCs w:val="22"/>
              </w:rPr>
              <w:t>p</w:t>
            </w:r>
            <w:r>
              <w:rPr>
                <w:rFonts w:ascii="Roboto Condensed Light" w:hAnsi="Roboto Condensed Light"/>
                <w:color w:val="FFFFFF" w:themeColor="background1"/>
                <w:sz w:val="22"/>
                <w:szCs w:val="22"/>
              </w:rPr>
              <w:t>)</w:t>
            </w:r>
          </w:p>
        </w:tc>
      </w:tr>
      <w:tr w:rsidR="001B57E5" w:rsidTr="00DC15CD">
        <w:tc>
          <w:tcPr>
            <w:tcW w:w="5070" w:type="dxa"/>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Sex (male vs female)</w:t>
            </w:r>
          </w:p>
        </w:tc>
        <w:tc>
          <w:tcPr>
            <w:tcW w:w="1606" w:type="dxa"/>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1.53</w:t>
            </w:r>
          </w:p>
        </w:tc>
        <w:tc>
          <w:tcPr>
            <w:tcW w:w="1606" w:type="dxa"/>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1.42, 1.65</w:t>
            </w:r>
          </w:p>
        </w:tc>
        <w:tc>
          <w:tcPr>
            <w:tcW w:w="1607" w:type="dxa"/>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&lt;.001</w:t>
            </w:r>
          </w:p>
        </w:tc>
      </w:tr>
      <w:tr w:rsidR="001B57E5" w:rsidTr="00DC15CD">
        <w:trPr>
          <w:trHeight w:val="157"/>
        </w:trPr>
        <w:tc>
          <w:tcPr>
            <w:tcW w:w="5070" w:type="dxa"/>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Age at time of index incident (per additional year of age)</w:t>
            </w:r>
          </w:p>
        </w:tc>
        <w:tc>
          <w:tcPr>
            <w:tcW w:w="1606" w:type="dxa"/>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0.98</w:t>
            </w:r>
          </w:p>
        </w:tc>
        <w:tc>
          <w:tcPr>
            <w:tcW w:w="1606" w:type="dxa"/>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0.97, 0.98</w:t>
            </w:r>
          </w:p>
        </w:tc>
        <w:tc>
          <w:tcPr>
            <w:tcW w:w="1607" w:type="dxa"/>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&lt;.001</w:t>
            </w:r>
          </w:p>
        </w:tc>
      </w:tr>
      <w:tr w:rsidR="001B57E5" w:rsidTr="00DC15CD">
        <w:trPr>
          <w:trHeight w:val="157"/>
        </w:trPr>
        <w:tc>
          <w:tcPr>
            <w:tcW w:w="5070" w:type="dxa"/>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Relationship between perpetrator and victim (current or former partner vs other family member)</w:t>
            </w:r>
          </w:p>
        </w:tc>
        <w:tc>
          <w:tcPr>
            <w:tcW w:w="1606" w:type="dxa"/>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1.12</w:t>
            </w:r>
          </w:p>
        </w:tc>
        <w:tc>
          <w:tcPr>
            <w:tcW w:w="1606" w:type="dxa"/>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1.04, 1.20</w:t>
            </w:r>
          </w:p>
        </w:tc>
        <w:tc>
          <w:tcPr>
            <w:tcW w:w="1607" w:type="dxa"/>
            <w:tcBorders>
              <w:top w:val="single" w:color="auto" w:sz="4" w:space="0"/>
              <w:left w:val="single" w:color="auto" w:sz="4" w:space="0"/>
              <w:bottom w:val="single" w:color="auto" w:sz="4" w:space="0"/>
              <w:right w:val="single" w:color="auto" w:sz="4" w:space="0"/>
            </w:tcBorders>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.002</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Number of prior incidents</w:t>
            </w:r>
          </w:p>
          <w:p w:rsidR="001B57E5" w:rsidP="00DC15CD" w:rsidRDefault="001B57E5">
            <w:pPr>
              <w:pStyle w:val="NoSpacing"/>
              <w:rPr>
                <w:rFonts w:ascii="Roboto Condensed Light" w:hAnsi="Roboto Condensed Light"/>
                <w:i/>
                <w:sz w:val="22"/>
                <w:szCs w:val="22"/>
              </w:rPr>
            </w:pPr>
            <w:r>
              <w:rPr>
                <w:rFonts w:ascii="Roboto Condensed Light" w:hAnsi="Roboto Condensed Light"/>
                <w:i/>
                <w:sz w:val="22"/>
                <w:szCs w:val="22"/>
              </w:rPr>
              <w:t xml:space="preserve">1-2 prior incidents </w:t>
            </w:r>
          </w:p>
          <w:p w:rsidR="001B57E5" w:rsidP="00DC15CD" w:rsidRDefault="001B57E5">
            <w:pPr>
              <w:pStyle w:val="NoSpacing"/>
              <w:rPr>
                <w:rFonts w:ascii="Roboto Condensed Light" w:hAnsi="Roboto Condensed Light"/>
                <w:sz w:val="22"/>
                <w:szCs w:val="22"/>
              </w:rPr>
            </w:pPr>
            <w:r>
              <w:rPr>
                <w:rFonts w:ascii="Roboto Condensed Light" w:hAnsi="Roboto Condensed Light"/>
                <w:i/>
                <w:sz w:val="22"/>
                <w:szCs w:val="22"/>
              </w:rPr>
              <w:t>3 or more prior incidents</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1B57E5" w:rsidP="00DC15CD" w:rsidRDefault="001B57E5">
            <w:pPr>
              <w:pStyle w:val="NoSpacing"/>
              <w:jc w:val="center"/>
              <w:rPr>
                <w:rFonts w:ascii="Roboto Condensed Light" w:hAnsi="Roboto Condensed Light"/>
                <w:sz w:val="22"/>
                <w:szCs w:val="22"/>
              </w:rPr>
            </w:pPr>
          </w:p>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2.26</w:t>
            </w:r>
          </w:p>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4.50</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1B57E5" w:rsidP="00DC15CD" w:rsidRDefault="001B57E5">
            <w:pPr>
              <w:pStyle w:val="NoSpacing"/>
              <w:jc w:val="center"/>
              <w:rPr>
                <w:rFonts w:ascii="Roboto Condensed Light" w:hAnsi="Roboto Condensed Light"/>
                <w:sz w:val="22"/>
                <w:szCs w:val="22"/>
              </w:rPr>
            </w:pPr>
          </w:p>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2.09, 2.43</w:t>
            </w:r>
          </w:p>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4.00, 5.06</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1B57E5" w:rsidP="00DC15CD" w:rsidRDefault="001B57E5">
            <w:pPr>
              <w:pStyle w:val="NoSpacing"/>
              <w:jc w:val="center"/>
              <w:rPr>
                <w:rFonts w:ascii="Roboto Condensed Light" w:hAnsi="Roboto Condensed Light"/>
                <w:sz w:val="22"/>
                <w:szCs w:val="22"/>
              </w:rPr>
            </w:pPr>
          </w:p>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&lt;.001</w:t>
            </w:r>
          </w:p>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&lt;.001</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Prior breach of FV order</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1.47</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1.27, 1.69</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&lt;.001</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Police risk assessment (likely vs unlikely)</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1.33</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1.24, 1.43</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&lt;.001</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Whether recorded offences arose from index incident</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0.81</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0.76, 0.88</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&lt;.001</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Perpetrator unemployed</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1.20</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1.06, 1.35</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.003</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Perpetrator depression/mental health issue</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1.56</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1.35, 1.80</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.002</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Perpetrator has firearms license</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0.68</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0.52, 0.88</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.004</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Victim pregnancy or new birth</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1.83</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1.53, 2.19</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&lt;.001</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Victim isolation</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0.78</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0.65, 0.94</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.009</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Escalation – increase in severity or frequency</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1.15</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1.02, 1.31</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.03</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Children present at index incident</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1.15</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1.07, 1.22</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&lt;.001</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Perpetrator – drug use possible</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1.49</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1.36, 1.64</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&lt;.001</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Perpetrator – drug use definite</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1.37</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1.16, 1.61</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.001</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Victim – alcohol use possible</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1.19</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1.08, 1.31</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&lt;.001</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 xml:space="preserve">Victim – alcohol use definite </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1.21</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1.10, 1.32</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&lt;.001</w:t>
            </w:r>
          </w:p>
        </w:tc>
      </w:tr>
      <w:tr w:rsidR="001B57E5" w:rsidTr="00DC15CD">
        <w:tc>
          <w:tcPr>
            <w:tcW w:w="50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rPr>
                <w:rFonts w:ascii="Roboto Condensed Light" w:hAnsi="Roboto Condensed Light"/>
                <w:sz w:val="22"/>
                <w:szCs w:val="22"/>
              </w:rPr>
            </w:pPr>
            <w:r>
              <w:rPr>
                <w:rFonts w:ascii="Roboto Condensed Light" w:hAnsi="Roboto Condensed Light"/>
                <w:sz w:val="22"/>
                <w:szCs w:val="22"/>
              </w:rPr>
              <w:t>Criminal charges pending for breach of family violence order</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1.37</w:t>
            </w:r>
          </w:p>
        </w:tc>
        <w:tc>
          <w:tcPr>
            <w:tcW w:w="16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1.07, 1.76</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B57E5" w:rsidP="00DC15CD" w:rsidRDefault="001B57E5">
            <w:pPr>
              <w:pStyle w:val="NoSpacing"/>
              <w:jc w:val="center"/>
              <w:rPr>
                <w:rFonts w:ascii="Roboto Condensed Light" w:hAnsi="Roboto Condensed Light"/>
                <w:sz w:val="22"/>
                <w:szCs w:val="22"/>
              </w:rPr>
            </w:pPr>
            <w:r>
              <w:rPr>
                <w:rFonts w:ascii="Roboto Condensed Light" w:hAnsi="Roboto Condensed Light"/>
                <w:sz w:val="22"/>
                <w:szCs w:val="22"/>
              </w:rPr>
              <w:t>.01</w:t>
            </w:r>
          </w:p>
        </w:tc>
      </w:tr>
    </w:tbl>
    <w:p w:rsidRPr="00BC6081" w:rsidR="001B57E5" w:rsidP="001B57E5" w:rsidRDefault="001B57E5">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Roboto Light" w:hAnsi="Roboto Light" w:eastAsia="MS Mincho" w:cs="TradeGothic-Bold"/>
          <w:color w:val="808080"/>
          <w:sz w:val="26"/>
          <w:szCs w:val="26"/>
          <w:lang w:val="en-GB"/>
        </w:rPr>
      </w:pPr>
      <w:r>
        <w:rPr>
          <w:rFonts w:ascii="Roboto Light" w:hAnsi="Roboto Light" w:eastAsia="MS Mincho" w:cs="TradeGothic-Bold"/>
          <w:color w:val="808080"/>
          <w:sz w:val="26"/>
          <w:szCs w:val="26"/>
          <w:lang w:val="en-GB"/>
        </w:rPr>
        <w:t>Discussion</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Within the 2010–</w:t>
      </w:r>
      <w:r w:rsidRPr="00B47A31">
        <w:rPr>
          <w:rFonts w:ascii="Roboto Condensed Light" w:hAnsi="Roboto Condensed Light" w:eastAsia="MS Mincho" w:cs="Times New Roman"/>
        </w:rPr>
        <w:t>11 cohort of</w:t>
      </w:r>
      <w:r>
        <w:rPr>
          <w:rFonts w:ascii="Roboto Condensed Light" w:hAnsi="Roboto Condensed Light" w:eastAsia="MS Mincho" w:cs="Times New Roman"/>
        </w:rPr>
        <w:t xml:space="preserve"> alleged</w:t>
      </w:r>
      <w:r w:rsidRPr="00B47A31">
        <w:rPr>
          <w:rFonts w:ascii="Roboto Condensed Light" w:hAnsi="Roboto Condensed Light" w:eastAsia="MS Mincho" w:cs="Times New Roman"/>
        </w:rPr>
        <w:t xml:space="preserve"> perpetrators whose recidivism behaviour was analysed for this research, just over half were recorded for at least one further family incident by 30 March 2015. The overall recidivism model highlighted a number of perpetrator, family violence history, and index incident characteristics that contribute significantly to predicting who will go on to be recorded for a recidivism incident.</w:t>
      </w:r>
      <w:r>
        <w:rPr>
          <w:rFonts w:ascii="Roboto Condensed Light" w:hAnsi="Roboto Condensed Light" w:eastAsia="MS Mincho" w:cs="Times New Roman"/>
        </w:rPr>
        <w:t xml:space="preserve"> Some of the factors that were found to contribute significantly to predicting recidivism are consistent with the findings of other research in this area. The finding that having prior family incidents, a prior breach of a family violence order, or criminal charges pending for breach of a family violence order, was predictive of recidivism is consistent with other studies that have found that prior offending is associated with recidivism (Bowen et al, 2005; </w:t>
      </w:r>
      <w:proofErr w:type="spellStart"/>
      <w:r>
        <w:rPr>
          <w:rFonts w:ascii="Roboto Condensed Light" w:hAnsi="Roboto Condensed Light" w:eastAsia="MS Mincho" w:cs="Times New Roman"/>
        </w:rPr>
        <w:t>Kingsnorth</w:t>
      </w:r>
      <w:proofErr w:type="spellEnd"/>
      <w:r>
        <w:rPr>
          <w:rFonts w:ascii="Roboto Condensed Light" w:hAnsi="Roboto Condensed Light" w:eastAsia="MS Mincho" w:cs="Times New Roman"/>
        </w:rPr>
        <w:t xml:space="preserve">, 2006; </w:t>
      </w:r>
      <w:proofErr w:type="spellStart"/>
      <w:r w:rsidRPr="00F111D2">
        <w:rPr>
          <w:rFonts w:ascii="Roboto Condensed Light" w:hAnsi="Roboto Condensed Light" w:eastAsia="MS Mincho" w:cs="Times New Roman"/>
        </w:rPr>
        <w:t>Ménard</w:t>
      </w:r>
      <w:proofErr w:type="spellEnd"/>
      <w:r>
        <w:rPr>
          <w:rFonts w:ascii="Roboto Condensed Light" w:hAnsi="Roboto Condensed Light" w:eastAsia="MS Mincho" w:cs="Times New Roman"/>
        </w:rPr>
        <w:t xml:space="preserve"> et al, 2009). The finding that perpetrator drug use (possible or definite) was predictive of recidivism is consistent with </w:t>
      </w:r>
      <w:proofErr w:type="spellStart"/>
      <w:r w:rsidRPr="00F111D2">
        <w:rPr>
          <w:rFonts w:ascii="Roboto Condensed Light" w:hAnsi="Roboto Condensed Light" w:eastAsia="MS Mincho" w:cs="Times New Roman"/>
        </w:rPr>
        <w:t>Ménard</w:t>
      </w:r>
      <w:proofErr w:type="spellEnd"/>
      <w:r>
        <w:rPr>
          <w:rFonts w:ascii="Roboto Condensed Light" w:hAnsi="Roboto Condensed Light" w:eastAsia="MS Mincho" w:cs="Times New Roman"/>
        </w:rPr>
        <w:t xml:space="preserve"> and colleagues’ (2009) finding that drug use was associated with recidivism.</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B47A31">
        <w:rPr>
          <w:rFonts w:ascii="Roboto Condensed Light" w:hAnsi="Roboto Condensed Light" w:eastAsia="MS Mincho" w:cs="Times New Roman"/>
        </w:rPr>
        <w:t>Taken together, all of the information collected by police reco</w:t>
      </w:r>
      <w:r>
        <w:rPr>
          <w:rFonts w:ascii="Roboto Condensed Light" w:hAnsi="Roboto Condensed Light" w:eastAsia="MS Mincho" w:cs="Times New Roman"/>
        </w:rPr>
        <w:t>rded at index incidents in 2010–</w:t>
      </w:r>
      <w:r w:rsidRPr="00B47A31">
        <w:rPr>
          <w:rFonts w:ascii="Roboto Condensed Light" w:hAnsi="Roboto Condensed Light" w:eastAsia="MS Mincho" w:cs="Times New Roman"/>
        </w:rPr>
        <w:t>11 could only be used to develop a model that, statistically, had ‘acceptable’ ability to discriminate between recidivist and non-recidivist perpetrators</w:t>
      </w:r>
      <w:r>
        <w:rPr>
          <w:rFonts w:ascii="Roboto Condensed Light" w:hAnsi="Roboto Condensed Light" w:eastAsia="MS Mincho" w:cs="Times New Roman"/>
        </w:rPr>
        <w:t xml:space="preserve">. However, the AUC for the final model (0.72) was higher than the average weighted AUC for any of the five tools previously assessed by Messing and </w:t>
      </w:r>
      <w:proofErr w:type="spellStart"/>
      <w:r>
        <w:rPr>
          <w:rFonts w:ascii="Roboto Condensed Light" w:hAnsi="Roboto Condensed Light" w:eastAsia="MS Mincho" w:cs="Times New Roman"/>
        </w:rPr>
        <w:t>Thaller</w:t>
      </w:r>
      <w:proofErr w:type="spellEnd"/>
      <w:r>
        <w:rPr>
          <w:rFonts w:ascii="Roboto Condensed Light" w:hAnsi="Roboto Condensed Light" w:eastAsia="MS Mincho" w:cs="Times New Roman"/>
        </w:rPr>
        <w:t xml:space="preserve"> (2013), which ranged from 0.537 to 0.666.</w:t>
      </w:r>
    </w:p>
    <w:p w:rsidRPr="00B47A31"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B47A31">
        <w:rPr>
          <w:rFonts w:ascii="Roboto Condensed Light" w:hAnsi="Roboto Condensed Light" w:eastAsia="MS Mincho" w:cs="Times New Roman"/>
        </w:rPr>
        <w:t xml:space="preserve">A number of L17 risk factors did not contribute significantly to predicting whether a perpetrator would be recorded for a further incident, though this information may have other value for police in the assessment and management of family incidents and harm arising from them. </w:t>
      </w:r>
      <w:r>
        <w:rPr>
          <w:rFonts w:ascii="Roboto Condensed Light" w:hAnsi="Roboto Condensed Light" w:eastAsia="MS Mincho" w:cs="Times New Roman"/>
        </w:rPr>
        <w:t xml:space="preserve">As outlined earlier, Victoria Police use the L17 form to inform decisions about the safety and welfare of family violence victims and determine the most appropriate risk management strategy, in addition to using it to make an assessment about the likelihood of future family violence </w:t>
      </w:r>
      <w:r w:rsidRPr="00F111D2">
        <w:rPr>
          <w:rFonts w:ascii="Roboto Condensed Light" w:hAnsi="Roboto Condensed Light" w:eastAsia="MS Mincho" w:cs="Times New Roman"/>
        </w:rPr>
        <w:t xml:space="preserve">(Victoria Police, </w:t>
      </w:r>
      <w:r w:rsidRPr="000A701B">
        <w:rPr>
          <w:rFonts w:ascii="Roboto Condensed Light" w:hAnsi="Roboto Condensed Light" w:eastAsia="MS Mincho" w:cs="Times New Roman"/>
        </w:rPr>
        <w:t>2014</w:t>
      </w:r>
      <w:r w:rsidRPr="00F111D2">
        <w:rPr>
          <w:rFonts w:ascii="Roboto Condensed Light" w:hAnsi="Roboto Condensed Light" w:eastAsia="MS Mincho" w:cs="Times New Roman"/>
        </w:rPr>
        <w:t>).</w:t>
      </w:r>
      <w:r>
        <w:rPr>
          <w:rFonts w:ascii="Roboto Condensed Light" w:hAnsi="Roboto Condensed Light" w:eastAsia="MS Mincho" w:cs="Times New Roman"/>
        </w:rPr>
        <w:t xml:space="preserve"> </w:t>
      </w:r>
      <w:r w:rsidRPr="00B47A31">
        <w:rPr>
          <w:rFonts w:ascii="Roboto Condensed Light" w:hAnsi="Roboto Condensed Light" w:eastAsia="MS Mincho" w:cs="Times New Roman"/>
        </w:rPr>
        <w:t xml:space="preserve">Perhaps it is the case, for example, that police make use of </w:t>
      </w:r>
      <w:r>
        <w:rPr>
          <w:rFonts w:ascii="Roboto Condensed Light" w:hAnsi="Roboto Condensed Light" w:eastAsia="MS Mincho" w:cs="Times New Roman"/>
        </w:rPr>
        <w:t xml:space="preserve">the items that were non-significant predictors </w:t>
      </w:r>
      <w:r w:rsidRPr="00B47A31">
        <w:rPr>
          <w:rFonts w:ascii="Roboto Condensed Light" w:hAnsi="Roboto Condensed Light" w:eastAsia="MS Mincho" w:cs="Times New Roman"/>
        </w:rPr>
        <w:t>to assess the risk of increased seriousness or frequency, or to establish a risk management strategy for the perpetrator and/or victim. Some of the</w:t>
      </w:r>
      <w:r>
        <w:rPr>
          <w:rFonts w:ascii="Roboto Condensed Light" w:hAnsi="Roboto Condensed Light" w:eastAsia="MS Mincho" w:cs="Times New Roman"/>
        </w:rPr>
        <w:t xml:space="preserve">se items </w:t>
      </w:r>
      <w:r w:rsidRPr="00B47A31">
        <w:rPr>
          <w:rFonts w:ascii="Roboto Condensed Light" w:hAnsi="Roboto Condensed Light" w:eastAsia="MS Mincho" w:cs="Times New Roman"/>
        </w:rPr>
        <w:t xml:space="preserve">related to potential harms to victims, information that is of potential relevance for referral agencies. </w:t>
      </w:r>
    </w:p>
    <w:p w:rsidRPr="00B47A31"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B47A31">
        <w:rPr>
          <w:rFonts w:ascii="Roboto Condensed Light" w:hAnsi="Roboto Condensed Light" w:eastAsia="MS Mincho" w:cs="Times New Roman"/>
        </w:rPr>
        <w:t>Where police recorded their intended actions on the L17 form these were, for the most part, associated with a slightly increased likelihood of recidivism. These results may be biased in the sense that police might be more likely to take action in response to a family incident where they perceive an elevated risk of recidivism. In other words, perpetrators involved in incidents where police record actions could already have a higher propensity to perpetrate further incidents before police take such action.</w:t>
      </w:r>
    </w:p>
    <w:p w:rsidRPr="009C549C"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b/>
        </w:rPr>
      </w:pPr>
      <w:r w:rsidRPr="009C549C">
        <w:rPr>
          <w:rFonts w:ascii="Roboto Condensed Light" w:hAnsi="Roboto Condensed Light" w:eastAsia="MS Mincho" w:cs="Times New Roman"/>
          <w:b/>
        </w:rPr>
        <w:t>Limitations</w:t>
      </w:r>
      <w:r>
        <w:rPr>
          <w:rFonts w:ascii="Roboto Condensed Light" w:hAnsi="Roboto Condensed Light" w:eastAsia="MS Mincho" w:cs="Times New Roman"/>
          <w:b/>
        </w:rPr>
        <w:t xml:space="preserve"> and further research</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A key limitation of this study i</w:t>
      </w:r>
      <w:r w:rsidRPr="00B47A31">
        <w:rPr>
          <w:rFonts w:ascii="Roboto Condensed Light" w:hAnsi="Roboto Condensed Light" w:eastAsia="MS Mincho" w:cs="Times New Roman"/>
        </w:rPr>
        <w:t xml:space="preserve">s that some perpetrators may have spent time in custody throughout the study period, reducing their ‘free time’ to perpetrate offences and data on this was not available to the CSA for inclusion in the study. </w:t>
      </w:r>
      <w:r>
        <w:rPr>
          <w:rFonts w:ascii="Roboto Condensed Light" w:hAnsi="Roboto Condensed Light" w:eastAsia="MS Mincho" w:cs="Times New Roman"/>
        </w:rPr>
        <w:t xml:space="preserve">This could </w:t>
      </w:r>
      <w:r w:rsidRPr="00B47A31">
        <w:rPr>
          <w:rFonts w:ascii="Roboto Condensed Light" w:hAnsi="Roboto Condensed Light" w:eastAsia="MS Mincho" w:cs="Times New Roman"/>
        </w:rPr>
        <w:t>lead to imprecise estimations of the true propor</w:t>
      </w:r>
      <w:r>
        <w:rPr>
          <w:rFonts w:ascii="Roboto Condensed Light" w:hAnsi="Roboto Condensed Light" w:eastAsia="MS Mincho" w:cs="Times New Roman"/>
        </w:rPr>
        <w:t>tion of recidivist perpetrators within the study period.</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As mentioned in the method, in this study references to perpetrators, incidents and recorded offences refer to alleged rather than proven perpetrators, incidents and offences. As the CSA does not currently match court outcome data regarding whether offences went on to be proven in court, the study does not report confirmed recidivist incidents and so could be overestimating recidivism slightly. In addition, recording practices by Victoria Police may change over time and so impact on the number of incidents recorded.</w:t>
      </w:r>
    </w:p>
    <w:p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 xml:space="preserve">The quality of police recording of risk factors is unknown. Risk factors are selected via check boxes and the absence of a check for a particular risk factor may indicate that the data was not assessed and/or recorded, not just that it was not present. A number of perpetrators were excluded from the study as they were missing data on one or more of the variables included in the final model. Their exclusion may mean the model is biased towards incidents where all of the data items are recorded. </w:t>
      </w:r>
    </w:p>
    <w:p w:rsidRPr="00B47A31"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B47A31">
        <w:rPr>
          <w:rFonts w:ascii="Roboto Condensed Light" w:hAnsi="Roboto Condensed Light" w:eastAsia="MS Mincho" w:cs="Times New Roman"/>
        </w:rPr>
        <w:t xml:space="preserve">A number of additional opportunities for further research were identified through the process of conducting the exploratory analysis presented here. First, refinement of the modelling presented here could be achieved by testing the validity of the model for other cohorts of perpetrators (for example, by defining the index incident based on a different year and re-running the modelling process). </w:t>
      </w:r>
    </w:p>
    <w:p w:rsidRPr="00B47A31"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 xml:space="preserve">As mentioned earlier, some of the factors that did not contribute significantly to predicting recidivism may be used by police or referral agencies to inform decisions about other risks or the establishment of a risk management strategy. </w:t>
      </w:r>
      <w:r w:rsidRPr="00B47A31">
        <w:rPr>
          <w:rFonts w:ascii="Roboto Condensed Light" w:hAnsi="Roboto Condensed Light" w:eastAsia="MS Mincho" w:cs="Times New Roman"/>
        </w:rPr>
        <w:t xml:space="preserve">Depending on the </w:t>
      </w:r>
      <w:r>
        <w:rPr>
          <w:rFonts w:ascii="Roboto Condensed Light" w:hAnsi="Roboto Condensed Light" w:eastAsia="MS Mincho" w:cs="Times New Roman"/>
        </w:rPr>
        <w:t xml:space="preserve">other uses that police and referral agencies make of the </w:t>
      </w:r>
      <w:r w:rsidRPr="00B47A31">
        <w:rPr>
          <w:rFonts w:ascii="Roboto Condensed Light" w:hAnsi="Roboto Condensed Light" w:eastAsia="MS Mincho" w:cs="Times New Roman"/>
        </w:rPr>
        <w:t xml:space="preserve">L17 </w:t>
      </w:r>
      <w:r>
        <w:rPr>
          <w:rFonts w:ascii="Roboto Condensed Light" w:hAnsi="Roboto Condensed Light" w:eastAsia="MS Mincho" w:cs="Times New Roman"/>
        </w:rPr>
        <w:t xml:space="preserve">form and what, </w:t>
      </w:r>
      <w:r w:rsidRPr="00B47A31">
        <w:rPr>
          <w:rFonts w:ascii="Roboto Condensed Light" w:hAnsi="Roboto Condensed Light" w:eastAsia="MS Mincho" w:cs="Times New Roman"/>
        </w:rPr>
        <w:t xml:space="preserve">specifically, </w:t>
      </w:r>
      <w:r>
        <w:rPr>
          <w:rFonts w:ascii="Roboto Condensed Light" w:hAnsi="Roboto Condensed Light" w:eastAsia="MS Mincho" w:cs="Times New Roman"/>
        </w:rPr>
        <w:t xml:space="preserve">they are </w:t>
      </w:r>
      <w:r w:rsidRPr="00B47A31">
        <w:rPr>
          <w:rFonts w:ascii="Roboto Condensed Light" w:hAnsi="Roboto Condensed Light" w:eastAsia="MS Mincho" w:cs="Times New Roman"/>
        </w:rPr>
        <w:t xml:space="preserve">attempting to predict, this research could be extended to determine which perpetrator or index incident characteristics have validity in predicting seriousness or frequency of recidivism. </w:t>
      </w:r>
    </w:p>
    <w:p w:rsidRPr="00B47A31"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A</w:t>
      </w:r>
      <w:r w:rsidRPr="00B47A31">
        <w:rPr>
          <w:rFonts w:ascii="Roboto Condensed Light" w:hAnsi="Roboto Condensed Light" w:eastAsia="MS Mincho" w:cs="Times New Roman"/>
        </w:rPr>
        <w:t xml:space="preserve"> research method termed propensity score matching could be used to control for these existing differences in propensity to re-perpetrate, which would enable more precise evaluation of the true impact of actions taken by police on recidivism levels. Again, this could be an avenue for further analysis in the future. </w:t>
      </w:r>
    </w:p>
    <w:p w:rsidRPr="00B47A31"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CF5684">
        <w:rPr>
          <w:rFonts w:ascii="Roboto Condensed Light" w:hAnsi="Roboto Condensed Light" w:eastAsia="MS Mincho" w:cs="Times New Roman"/>
        </w:rPr>
        <w:t xml:space="preserve">Linking data from additional sources to the Victoria Police data used for this analysis could also improve the adequacy of the modelling. </w:t>
      </w:r>
      <w:r w:rsidRPr="00B47A31">
        <w:rPr>
          <w:rFonts w:ascii="Roboto Condensed Light" w:hAnsi="Roboto Condensed Light" w:eastAsia="MS Mincho" w:cs="Times New Roman"/>
        </w:rPr>
        <w:t xml:space="preserve">Incorporating correctional services data on any time that perpetrators spent in custody following their index incident would enable a more accurate comparison of who goes on to perpetrate further incidents. Further, incorporating </w:t>
      </w:r>
      <w:r>
        <w:rPr>
          <w:rFonts w:ascii="Roboto Condensed Light" w:hAnsi="Roboto Condensed Light" w:eastAsia="MS Mincho" w:cs="Times New Roman"/>
        </w:rPr>
        <w:t xml:space="preserve">data from the </w:t>
      </w:r>
      <w:r w:rsidRPr="00B47A31">
        <w:rPr>
          <w:rFonts w:ascii="Roboto Condensed Light" w:hAnsi="Roboto Condensed Light" w:eastAsia="MS Mincho" w:cs="Times New Roman"/>
        </w:rPr>
        <w:t>courts on whether family violence intervention orders were in place throughout the study period, and the start and end dates of these orders, would enable analysis of the impact of these orders</w:t>
      </w:r>
      <w:r>
        <w:rPr>
          <w:rFonts w:ascii="Roboto Condensed Light" w:hAnsi="Roboto Condensed Light" w:eastAsia="MS Mincho" w:cs="Times New Roman"/>
        </w:rPr>
        <w:t xml:space="preserve"> </w:t>
      </w:r>
      <w:r w:rsidRPr="00B47A31">
        <w:rPr>
          <w:rFonts w:ascii="Roboto Condensed Light" w:hAnsi="Roboto Condensed Light" w:eastAsia="MS Mincho" w:cs="Times New Roman"/>
        </w:rPr>
        <w:t xml:space="preserve">on the propensity </w:t>
      </w:r>
      <w:r>
        <w:rPr>
          <w:rFonts w:ascii="Roboto Condensed Light" w:hAnsi="Roboto Condensed Light" w:eastAsia="MS Mincho" w:cs="Times New Roman"/>
        </w:rPr>
        <w:t>to re-offend</w:t>
      </w:r>
      <w:r w:rsidRPr="00B47A31">
        <w:rPr>
          <w:rFonts w:ascii="Roboto Condensed Light" w:hAnsi="Roboto Condensed Light" w:eastAsia="MS Mincho" w:cs="Times New Roman"/>
        </w:rPr>
        <w:t>. Linking these datasets would enable devel</w:t>
      </w:r>
      <w:r>
        <w:rPr>
          <w:rFonts w:ascii="Roboto Condensed Light" w:hAnsi="Roboto Condensed Light" w:eastAsia="MS Mincho" w:cs="Times New Roman"/>
        </w:rPr>
        <w:t xml:space="preserve">opment of a more comprehensive </w:t>
      </w:r>
      <w:r w:rsidRPr="00B47A31">
        <w:rPr>
          <w:rFonts w:ascii="Roboto Condensed Light" w:hAnsi="Roboto Condensed Light" w:eastAsia="MS Mincho" w:cs="Times New Roman"/>
        </w:rPr>
        <w:t xml:space="preserve">model, incorporating all potential predictors of recidivism. </w:t>
      </w:r>
    </w:p>
    <w:p w:rsidRPr="00B47A31"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B47A31">
        <w:rPr>
          <w:rFonts w:ascii="Roboto Condensed Light" w:hAnsi="Roboto Condensed Light" w:eastAsia="MS Mincho" w:cs="Times New Roman"/>
        </w:rPr>
        <w:t xml:space="preserve">Prior to the rollout of any new or modified risk assessment tools, a piloting and evaluation process incorporating similar modelling methods to those presented here would assist in determining the validity of these tools in predicting recidivism (or other outcomes of interest). Ideally, any pilots undertaken would involve the identification and use of both control sites and pilot sites so that new tools can be adequately compared with existing practice. Identification of required evaluation data in the planning stage of any pilot would also be vital to ensure the success and rigour of the evaluation. </w:t>
      </w:r>
    </w:p>
    <w:p w:rsidRPr="00B47A31"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 xml:space="preserve">As previously mentioned, recent research found </w:t>
      </w:r>
      <w:r w:rsidRPr="00B47A31">
        <w:rPr>
          <w:rFonts w:ascii="Roboto Condensed Light" w:hAnsi="Roboto Condensed Light" w:eastAsia="MS Mincho" w:cs="Times New Roman"/>
        </w:rPr>
        <w:t xml:space="preserve">that the </w:t>
      </w:r>
      <w:r>
        <w:rPr>
          <w:rFonts w:ascii="Roboto Condensed Light" w:hAnsi="Roboto Condensed Light" w:eastAsia="MS Mincho" w:cs="Times New Roman"/>
        </w:rPr>
        <w:t>6.9</w:t>
      </w:r>
      <w:r w:rsidRPr="00B47A31">
        <w:rPr>
          <w:rFonts w:ascii="Roboto Condensed Light" w:hAnsi="Roboto Condensed Light" w:eastAsia="MS Mincho" w:cs="Times New Roman"/>
        </w:rPr>
        <w:t xml:space="preserve">% of perpetrators </w:t>
      </w:r>
      <w:r>
        <w:rPr>
          <w:rFonts w:ascii="Roboto Condensed Light" w:hAnsi="Roboto Condensed Light" w:eastAsia="MS Mincho" w:cs="Times New Roman"/>
        </w:rPr>
        <w:t xml:space="preserve">who </w:t>
      </w:r>
      <w:r w:rsidRPr="00B47A31">
        <w:rPr>
          <w:rFonts w:ascii="Roboto Condensed Light" w:hAnsi="Roboto Condensed Light" w:eastAsia="MS Mincho" w:cs="Times New Roman"/>
        </w:rPr>
        <w:t>committed five or mor</w:t>
      </w:r>
      <w:r>
        <w:rPr>
          <w:rFonts w:ascii="Roboto Condensed Light" w:hAnsi="Roboto Condensed Light" w:eastAsia="MS Mincho" w:cs="Times New Roman"/>
        </w:rPr>
        <w:t>e family incidents between 2006 and 2015</w:t>
      </w:r>
      <w:r w:rsidRPr="00B47A31">
        <w:rPr>
          <w:rFonts w:ascii="Roboto Condensed Light" w:hAnsi="Roboto Condensed Light" w:eastAsia="MS Mincho" w:cs="Times New Roman"/>
        </w:rPr>
        <w:t xml:space="preserve"> were responsible for 3</w:t>
      </w:r>
      <w:r>
        <w:rPr>
          <w:rFonts w:ascii="Roboto Condensed Light" w:hAnsi="Roboto Condensed Light" w:eastAsia="MS Mincho" w:cs="Times New Roman"/>
        </w:rPr>
        <w:t>0.7</w:t>
      </w:r>
      <w:r w:rsidRPr="00B47A31">
        <w:rPr>
          <w:rFonts w:ascii="Roboto Condensed Light" w:hAnsi="Roboto Condensed Light" w:eastAsia="MS Mincho" w:cs="Times New Roman"/>
        </w:rPr>
        <w:t xml:space="preserve">% of all family </w:t>
      </w:r>
      <w:r w:rsidRPr="00F111D2">
        <w:rPr>
          <w:rFonts w:ascii="Roboto Condensed Light" w:hAnsi="Roboto Condensed Light" w:eastAsia="MS Mincho" w:cs="Times New Roman"/>
        </w:rPr>
        <w:t>incidents (</w:t>
      </w:r>
      <w:proofErr w:type="spellStart"/>
      <w:r w:rsidRPr="00F111D2">
        <w:rPr>
          <w:rFonts w:ascii="Roboto Condensed Light" w:hAnsi="Roboto Condensed Light" w:eastAsia="MS Mincho" w:cs="Times New Roman"/>
        </w:rPr>
        <w:t>Millsteed</w:t>
      </w:r>
      <w:proofErr w:type="spellEnd"/>
      <w:r w:rsidRPr="00F111D2">
        <w:rPr>
          <w:rFonts w:ascii="Roboto Condensed Light" w:hAnsi="Roboto Condensed Light" w:eastAsia="MS Mincho" w:cs="Times New Roman"/>
        </w:rPr>
        <w:t>, 2016).</w:t>
      </w:r>
      <w:r w:rsidRPr="00B47A31">
        <w:rPr>
          <w:rFonts w:ascii="Roboto Condensed Light" w:hAnsi="Roboto Condensed Light" w:eastAsia="MS Mincho" w:cs="Times New Roman"/>
        </w:rPr>
        <w:t xml:space="preserve"> Statistical analysis to determine whether these perpetrators are significantly different from other perpetrators recorded for family </w:t>
      </w:r>
      <w:r>
        <w:rPr>
          <w:rFonts w:ascii="Roboto Condensed Light" w:hAnsi="Roboto Condensed Light" w:eastAsia="MS Mincho" w:cs="Times New Roman"/>
        </w:rPr>
        <w:t>incidents</w:t>
      </w:r>
      <w:r w:rsidRPr="00B47A31">
        <w:rPr>
          <w:rFonts w:ascii="Roboto Condensed Light" w:hAnsi="Roboto Condensed Light" w:eastAsia="MS Mincho" w:cs="Times New Roman"/>
        </w:rPr>
        <w:t xml:space="preserve"> could provide useful insights for targeting family violence policy and practice. It could also be instructive to analyse in detail the characteristics and family violence histories of those who perpetrate very serious family incidents. </w:t>
      </w:r>
    </w:p>
    <w:p w:rsidRPr="00CF5684" w:rsidR="001B57E5" w:rsidP="001B57E5" w:rsidRDefault="001B57E5">
      <w:pPr>
        <w:widowControl w:val="false"/>
        <w:suppressAutoHyphens/>
        <w:autoSpaceDE w:val="false"/>
        <w:autoSpaceDN w:val="false"/>
        <w:adjustRightInd w:val="false"/>
        <w:spacing w:before="170" w:after="57" w:line="300" w:lineRule="atLeast"/>
        <w:textAlignment w:val="center"/>
        <w:outlineLvl w:val="2"/>
        <w:rPr>
          <w:rFonts w:ascii="Roboto Condensed Light" w:hAnsi="Roboto Condensed Light" w:eastAsia="MS Mincho" w:cs="Times New Roman"/>
        </w:rPr>
      </w:pPr>
      <w:r w:rsidRPr="00CF5684">
        <w:rPr>
          <w:rFonts w:ascii="Roboto Condensed Light" w:hAnsi="Roboto Condensed Light" w:eastAsia="MS Mincho" w:cs="Times New Roman"/>
        </w:rPr>
        <w:t>This study did not consider the extent to which an individual perpetrator commits violence against one or multiple victims, though future research could examine this. Finally, analysis of the relationships between perpetrators’ recorded family incidents and other recorded offence types, such as drug offences and non-family violence related assaults, could provide additional insights into the behaviours of family violence perpetrators over time.</w:t>
      </w:r>
    </w:p>
    <w:p w:rsidR="001B57E5" w:rsidP="001B57E5" w:rsidRDefault="001B57E5">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Roboto Light" w:hAnsi="Roboto Light" w:eastAsia="MS Mincho" w:cs="TradeGothic-Bold"/>
          <w:color w:val="808080"/>
          <w:sz w:val="26"/>
          <w:szCs w:val="26"/>
          <w:lang w:val="en-GB"/>
        </w:rPr>
      </w:pPr>
      <w:r>
        <w:rPr>
          <w:rFonts w:ascii="Roboto Light" w:hAnsi="Roboto Light" w:eastAsia="MS Mincho" w:cs="TradeGothic-Bold"/>
          <w:color w:val="808080"/>
          <w:sz w:val="26"/>
          <w:szCs w:val="26"/>
          <w:lang w:val="en-GB"/>
        </w:rPr>
        <w:t>Acknowledgements</w:t>
      </w:r>
      <w:r>
        <w:rPr>
          <w:rFonts w:ascii="Roboto Light" w:hAnsi="Roboto Light" w:eastAsia="MS Mincho" w:cs="TradeGothic-Bold"/>
          <w:color w:val="808080"/>
          <w:sz w:val="26"/>
          <w:szCs w:val="26"/>
          <w:lang w:val="en-GB"/>
        </w:rPr>
        <w:tab/>
      </w:r>
    </w:p>
    <w:p w:rsidR="001B57E5" w:rsidP="001B57E5" w:rsidRDefault="001B57E5">
      <w:pPr>
        <w:pStyle w:val="ListParagraph"/>
        <w:widowControl w:val="false"/>
        <w:suppressAutoHyphens/>
        <w:autoSpaceDE w:val="false"/>
        <w:autoSpaceDN w:val="false"/>
        <w:adjustRightInd w:val="false"/>
        <w:spacing w:before="170" w:after="57" w:line="300" w:lineRule="atLeast"/>
        <w:ind w:left="0"/>
        <w:textAlignment w:val="center"/>
        <w:outlineLvl w:val="2"/>
        <w:rPr>
          <w:rFonts w:ascii="Roboto Condensed Light" w:hAnsi="Roboto Condensed Light" w:eastAsia="MS Mincho" w:cs="Times New Roman"/>
        </w:rPr>
      </w:pPr>
      <w:r>
        <w:rPr>
          <w:rFonts w:ascii="Roboto Condensed Light" w:hAnsi="Roboto Condensed Light" w:eastAsia="MS Mincho" w:cs="Times New Roman"/>
        </w:rPr>
        <w:t xml:space="preserve">The authors would like to acknowledge the Royal Commission into Family Violence, who commissioned the Crime Statistics Agency to undertake the analysis that is reported here. They would also like to thank Kimberley Shirley for her efforts in extracting the data on which this analysis was based and Fiona </w:t>
      </w:r>
      <w:proofErr w:type="spellStart"/>
      <w:r>
        <w:rPr>
          <w:rFonts w:ascii="Roboto Condensed Light" w:hAnsi="Roboto Condensed Light" w:eastAsia="MS Mincho" w:cs="Times New Roman"/>
        </w:rPr>
        <w:t>Dowsley</w:t>
      </w:r>
      <w:proofErr w:type="spellEnd"/>
      <w:r>
        <w:rPr>
          <w:rFonts w:ascii="Roboto Condensed Light" w:hAnsi="Roboto Condensed Light" w:eastAsia="MS Mincho" w:cs="Times New Roman"/>
        </w:rPr>
        <w:t xml:space="preserve"> for providing useful feedback on drafts of this paper.</w:t>
      </w:r>
    </w:p>
    <w:p w:rsidR="001B57E5" w:rsidP="001B57E5" w:rsidRDefault="001B57E5">
      <w:pPr>
        <w:pStyle w:val="ListParagraph"/>
        <w:widowControl w:val="false"/>
        <w:suppressAutoHyphens/>
        <w:autoSpaceDE w:val="false"/>
        <w:autoSpaceDN w:val="false"/>
        <w:adjustRightInd w:val="false"/>
        <w:spacing w:before="170" w:after="57" w:line="300" w:lineRule="atLeast"/>
        <w:ind w:left="0"/>
        <w:textAlignment w:val="center"/>
        <w:outlineLvl w:val="2"/>
        <w:rPr>
          <w:rFonts w:ascii="Roboto Condensed Light" w:hAnsi="Roboto Condensed Light" w:eastAsia="MS Mincho" w:cs="Times New Roman"/>
        </w:rPr>
      </w:pPr>
    </w:p>
    <w:p w:rsidR="001B57E5" w:rsidP="001B57E5" w:rsidRDefault="001B57E5">
      <w:pPr>
        <w:rPr>
          <w:rFonts w:ascii="Roboto Light" w:hAnsi="Roboto Light" w:eastAsia="MS Mincho" w:cs="TradeGothic-Bold"/>
          <w:color w:val="808080"/>
          <w:sz w:val="26"/>
          <w:szCs w:val="26"/>
          <w:lang w:val="en-GB"/>
        </w:rPr>
      </w:pPr>
      <w:r>
        <w:rPr>
          <w:rFonts w:ascii="Roboto Light" w:hAnsi="Roboto Light" w:eastAsia="MS Mincho" w:cs="TradeGothic-Bold"/>
          <w:color w:val="808080"/>
          <w:sz w:val="26"/>
          <w:szCs w:val="26"/>
          <w:lang w:val="en-GB"/>
        </w:rPr>
        <w:br w:type="page"/>
      </w:r>
    </w:p>
    <w:p w:rsidRPr="00C46938" w:rsidR="001B57E5" w:rsidP="001B57E5" w:rsidRDefault="001B57E5">
      <w:pPr>
        <w:tabs>
          <w:tab w:val="left" w:pos="3435"/>
        </w:tabs>
        <w:rPr>
          <w:lang w:val="en-GB"/>
        </w:rPr>
      </w:pPr>
      <w:r>
        <w:rPr>
          <w:rFonts w:ascii="Roboto Light" w:hAnsi="Roboto Light" w:eastAsia="MS Mincho" w:cs="TradeGothic-Bold"/>
          <w:color w:val="808080"/>
          <w:sz w:val="26"/>
          <w:szCs w:val="26"/>
          <w:lang w:val="en-GB"/>
        </w:rPr>
        <w:t xml:space="preserve">References </w:t>
      </w:r>
    </w:p>
    <w:p w:rsidRPr="00DA2191"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Pr>
          <w:rFonts w:ascii="Roboto Condensed Light" w:hAnsi="Roboto Condensed Light" w:cs="Times New Roman"/>
          <w:lang w:val="en-US"/>
        </w:rPr>
        <w:t xml:space="preserve">Bennett </w:t>
      </w:r>
      <w:proofErr w:type="spellStart"/>
      <w:r>
        <w:rPr>
          <w:rFonts w:ascii="Roboto Condensed Light" w:hAnsi="Roboto Condensed Light" w:cs="Times New Roman"/>
          <w:lang w:val="en-US"/>
        </w:rPr>
        <w:t>Cattaneo</w:t>
      </w:r>
      <w:proofErr w:type="spellEnd"/>
      <w:r>
        <w:rPr>
          <w:rFonts w:ascii="Roboto Condensed Light" w:hAnsi="Roboto Condensed Light" w:cs="Times New Roman"/>
          <w:lang w:val="en-US"/>
        </w:rPr>
        <w:t xml:space="preserve">, L. and Goodman, L.A. (2005). Risk factors for </w:t>
      </w:r>
      <w:proofErr w:type="spellStart"/>
      <w:r>
        <w:rPr>
          <w:rFonts w:ascii="Roboto Condensed Light" w:hAnsi="Roboto Condensed Light" w:cs="Times New Roman"/>
          <w:lang w:val="en-US"/>
        </w:rPr>
        <w:t>reabuse</w:t>
      </w:r>
      <w:proofErr w:type="spellEnd"/>
      <w:r>
        <w:rPr>
          <w:rFonts w:ascii="Roboto Condensed Light" w:hAnsi="Roboto Condensed Light" w:cs="Times New Roman"/>
          <w:lang w:val="en-US"/>
        </w:rPr>
        <w:t xml:space="preserve"> in intimate partner violence: A cross-disciplinary critical review. </w:t>
      </w:r>
      <w:r>
        <w:rPr>
          <w:rFonts w:ascii="Roboto Condensed Light" w:hAnsi="Roboto Condensed Light" w:cs="Times New Roman"/>
          <w:i/>
          <w:lang w:val="en-US"/>
        </w:rPr>
        <w:t>Trauma, Violence and Abuse</w:t>
      </w:r>
      <w:r>
        <w:rPr>
          <w:rFonts w:ascii="Roboto Condensed Light" w:hAnsi="Roboto Condensed Light" w:cs="Times New Roman"/>
          <w:lang w:val="en-US"/>
        </w:rPr>
        <w:t>, 6(2), pp. 141-175.</w:t>
      </w:r>
    </w:p>
    <w:p w:rsidRPr="009C549C"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sidRPr="009C549C">
        <w:rPr>
          <w:rFonts w:ascii="Roboto Condensed Light" w:hAnsi="Roboto Condensed Light" w:cs="Times New Roman"/>
          <w:lang w:val="en-US"/>
        </w:rPr>
        <w:t xml:space="preserve">Bowen, E. (2011). An overview of partner violence risk assessment and the potential role of female victim risk appraisals. </w:t>
      </w:r>
      <w:r w:rsidRPr="009C549C">
        <w:rPr>
          <w:rFonts w:ascii="Roboto Condensed Light" w:hAnsi="Roboto Condensed Light" w:cs="Times New Roman"/>
          <w:i/>
          <w:lang w:val="en-US"/>
        </w:rPr>
        <w:t xml:space="preserve">Aggression and Violent </w:t>
      </w:r>
      <w:proofErr w:type="spellStart"/>
      <w:r w:rsidRPr="009C549C">
        <w:rPr>
          <w:rFonts w:ascii="Roboto Condensed Light" w:hAnsi="Roboto Condensed Light" w:cs="Times New Roman"/>
          <w:i/>
          <w:lang w:val="en-US"/>
        </w:rPr>
        <w:t>Behaviour</w:t>
      </w:r>
      <w:proofErr w:type="spellEnd"/>
      <w:r w:rsidRPr="009C549C">
        <w:rPr>
          <w:rFonts w:ascii="Roboto Condensed Light" w:hAnsi="Roboto Condensed Light" w:cs="Times New Roman"/>
          <w:i/>
          <w:lang w:val="en-US"/>
        </w:rPr>
        <w:t>,</w:t>
      </w:r>
      <w:r w:rsidRPr="009C549C">
        <w:rPr>
          <w:rFonts w:ascii="Roboto Condensed Light" w:hAnsi="Roboto Condensed Light" w:cs="Times New Roman"/>
          <w:lang w:val="en-US"/>
        </w:rPr>
        <w:t xml:space="preserve"> 16, pp. 214-216.</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sidRPr="009C549C">
        <w:rPr>
          <w:rFonts w:ascii="Roboto Condensed Light" w:hAnsi="Roboto Condensed Light" w:cs="Times New Roman"/>
          <w:lang w:val="en-US"/>
        </w:rPr>
        <w:t xml:space="preserve">Bowen, E., Gilchrist, E.A. and Beech, A.R. (2005). An examination of the impact of community-based rehabilitation on the offending behavior of male domestic violence offenders and the characteristics associated with recidivism. </w:t>
      </w:r>
      <w:r w:rsidRPr="009C549C">
        <w:rPr>
          <w:rFonts w:ascii="Roboto Condensed Light" w:hAnsi="Roboto Condensed Light" w:cs="Times New Roman"/>
          <w:i/>
          <w:lang w:val="en-US"/>
        </w:rPr>
        <w:t>Legal and Criminological Psychology</w:t>
      </w:r>
      <w:r w:rsidRPr="009C549C">
        <w:rPr>
          <w:rFonts w:ascii="Roboto Condensed Light" w:hAnsi="Roboto Condensed Light" w:cs="Times New Roman"/>
          <w:lang w:val="en-US"/>
        </w:rPr>
        <w:t>, 10, pp. 189-209.</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Pr>
          <w:rFonts w:ascii="Roboto Condensed Light" w:hAnsi="Roboto Condensed Light" w:cs="Times New Roman"/>
          <w:lang w:val="en-US"/>
        </w:rPr>
        <w:t>Buzawa</w:t>
      </w:r>
      <w:proofErr w:type="spellEnd"/>
      <w:r>
        <w:rPr>
          <w:rFonts w:ascii="Roboto Condensed Light" w:hAnsi="Roboto Condensed Light" w:cs="Times New Roman"/>
          <w:lang w:val="en-US"/>
        </w:rPr>
        <w:t xml:space="preserve">, E., </w:t>
      </w:r>
      <w:proofErr w:type="spellStart"/>
      <w:r>
        <w:rPr>
          <w:rFonts w:ascii="Roboto Condensed Light" w:hAnsi="Roboto Condensed Light" w:cs="Times New Roman"/>
          <w:lang w:val="en-US"/>
        </w:rPr>
        <w:t>Hotaling</w:t>
      </w:r>
      <w:proofErr w:type="spellEnd"/>
      <w:r>
        <w:rPr>
          <w:rFonts w:ascii="Roboto Condensed Light" w:hAnsi="Roboto Condensed Light" w:cs="Times New Roman"/>
          <w:lang w:val="en-US"/>
        </w:rPr>
        <w:t xml:space="preserve">, A., Klein, A. and Byrnes, J. (1999). </w:t>
      </w:r>
      <w:r>
        <w:rPr>
          <w:rFonts w:ascii="Roboto Condensed Light" w:hAnsi="Roboto Condensed Light" w:cs="Times New Roman"/>
          <w:i/>
          <w:lang w:val="en-US"/>
        </w:rPr>
        <w:t>Response to Domestic Violence in a Pro-Active Court Setting</w:t>
      </w:r>
      <w:r>
        <w:rPr>
          <w:rFonts w:ascii="Roboto Condensed Light" w:hAnsi="Roboto Condensed Light" w:cs="Times New Roman"/>
          <w:lang w:val="en-US"/>
        </w:rPr>
        <w:t>. [</w:t>
      </w:r>
      <w:proofErr w:type="gramStart"/>
      <w:r>
        <w:rPr>
          <w:rFonts w:ascii="Roboto Condensed Light" w:hAnsi="Roboto Condensed Light" w:cs="Times New Roman"/>
          <w:lang w:val="en-US"/>
        </w:rPr>
        <w:t>online</w:t>
      </w:r>
      <w:proofErr w:type="gramEnd"/>
      <w:r>
        <w:rPr>
          <w:rFonts w:ascii="Roboto Condensed Light" w:hAnsi="Roboto Condensed Light" w:cs="Times New Roman"/>
          <w:lang w:val="en-US"/>
        </w:rPr>
        <w:t xml:space="preserve">] Washington: National Institute of Justice. Available at: </w:t>
      </w:r>
      <w:r w:rsidRPr="00423A37">
        <w:rPr>
          <w:rFonts w:ascii="Roboto Condensed Light" w:hAnsi="Roboto Condensed Light" w:cs="Times New Roman"/>
          <w:lang w:val="en-US"/>
        </w:rPr>
        <w:t>http://www.ncjrs.gov/App/Publications/abstract.aspx?ID=181427</w:t>
      </w:r>
      <w:r>
        <w:rPr>
          <w:rFonts w:ascii="Roboto Condensed Light" w:hAnsi="Roboto Condensed Light" w:cs="Times New Roman"/>
          <w:lang w:val="en-US"/>
        </w:rPr>
        <w:t xml:space="preserve"> [Accessed 9 May 2016].</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Pr>
          <w:rFonts w:ascii="Roboto Condensed Light" w:hAnsi="Roboto Condensed Light" w:cs="Times New Roman"/>
          <w:lang w:val="en-US"/>
        </w:rPr>
        <w:t>Brownridge</w:t>
      </w:r>
      <w:proofErr w:type="spellEnd"/>
      <w:r>
        <w:rPr>
          <w:rFonts w:ascii="Roboto Condensed Light" w:hAnsi="Roboto Condensed Light" w:cs="Times New Roman"/>
          <w:lang w:val="en-US"/>
        </w:rPr>
        <w:t xml:space="preserve">, A., </w:t>
      </w:r>
      <w:proofErr w:type="spellStart"/>
      <w:r>
        <w:rPr>
          <w:rFonts w:ascii="Roboto Condensed Light" w:hAnsi="Roboto Condensed Light" w:cs="Times New Roman"/>
          <w:lang w:val="en-US"/>
        </w:rPr>
        <w:t>Tallieu</w:t>
      </w:r>
      <w:proofErr w:type="spellEnd"/>
      <w:r>
        <w:rPr>
          <w:rFonts w:ascii="Roboto Condensed Light" w:hAnsi="Roboto Condensed Light" w:cs="Times New Roman"/>
          <w:lang w:val="en-US"/>
        </w:rPr>
        <w:t xml:space="preserve">, L., Tyler, A., Tiwari, A., Chan, K.L. and Santos, S.C. (2011). Pregnancy and intimate partner violence: Risk factors, severity and health effects. </w:t>
      </w:r>
      <w:r>
        <w:rPr>
          <w:rFonts w:ascii="Roboto Condensed Light" w:hAnsi="Roboto Condensed Light" w:cs="Times New Roman"/>
          <w:i/>
          <w:lang w:val="en-US"/>
        </w:rPr>
        <w:t xml:space="preserve">Violence </w:t>
      </w:r>
      <w:proofErr w:type="gramStart"/>
      <w:r>
        <w:rPr>
          <w:rFonts w:ascii="Roboto Condensed Light" w:hAnsi="Roboto Condensed Light" w:cs="Times New Roman"/>
          <w:i/>
          <w:lang w:val="en-US"/>
        </w:rPr>
        <w:t>Against</w:t>
      </w:r>
      <w:proofErr w:type="gramEnd"/>
      <w:r>
        <w:rPr>
          <w:rFonts w:ascii="Roboto Condensed Light" w:hAnsi="Roboto Condensed Light" w:cs="Times New Roman"/>
          <w:i/>
          <w:lang w:val="en-US"/>
        </w:rPr>
        <w:t xml:space="preserve"> Women, 17</w:t>
      </w:r>
      <w:r>
        <w:rPr>
          <w:rFonts w:ascii="Roboto Condensed Light" w:hAnsi="Roboto Condensed Light" w:cs="Times New Roman"/>
          <w:lang w:val="en-US"/>
        </w:rPr>
        <w:t>(7), 858-881.</w:t>
      </w:r>
    </w:p>
    <w:p w:rsidRPr="00024363"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Pr>
          <w:rFonts w:ascii="Roboto Condensed Light" w:hAnsi="Roboto Condensed Light" w:cs="Times New Roman"/>
          <w:lang w:val="en-US"/>
        </w:rPr>
        <w:t xml:space="preserve">Campo, M (2015). </w:t>
      </w:r>
      <w:r>
        <w:rPr>
          <w:rFonts w:ascii="Roboto Condensed Light" w:hAnsi="Roboto Condensed Light" w:cs="Times New Roman"/>
          <w:i/>
          <w:lang w:val="en-US"/>
        </w:rPr>
        <w:t xml:space="preserve">Domestic and family violence in pregnancy and early parenthood: Overview and emerging interventions. </w:t>
      </w:r>
      <w:r>
        <w:rPr>
          <w:rFonts w:ascii="Roboto Condensed Light" w:hAnsi="Roboto Condensed Light" w:cs="Times New Roman"/>
          <w:lang w:val="en-US"/>
        </w:rPr>
        <w:t xml:space="preserve">Melbourne: Australian Institute of Family Studies. </w:t>
      </w:r>
    </w:p>
    <w:p w:rsidRPr="009C549C"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sidRPr="009C549C">
        <w:rPr>
          <w:rFonts w:ascii="Roboto Condensed Light" w:hAnsi="Roboto Condensed Light" w:cs="Times New Roman"/>
          <w:lang w:val="en-US"/>
        </w:rPr>
        <w:t xml:space="preserve">Crime Statistics Agency (2015). </w:t>
      </w:r>
      <w:r w:rsidRPr="009C549C">
        <w:rPr>
          <w:rFonts w:ascii="Roboto Condensed Light" w:hAnsi="Roboto Condensed Light" w:cs="Times New Roman"/>
          <w:i/>
          <w:lang w:val="en-US"/>
        </w:rPr>
        <w:t>Explanatory notes</w:t>
      </w:r>
      <w:r w:rsidRPr="009C549C">
        <w:rPr>
          <w:rFonts w:ascii="Roboto Condensed Light" w:hAnsi="Roboto Condensed Light" w:cs="Times New Roman"/>
          <w:lang w:val="en-US"/>
        </w:rPr>
        <w:t>. [</w:t>
      </w:r>
      <w:proofErr w:type="gramStart"/>
      <w:r w:rsidRPr="009C549C">
        <w:rPr>
          <w:rFonts w:ascii="Roboto Condensed Light" w:hAnsi="Roboto Condensed Light" w:cs="Times New Roman"/>
          <w:lang w:val="en-US"/>
        </w:rPr>
        <w:t>online</w:t>
      </w:r>
      <w:proofErr w:type="gramEnd"/>
      <w:r w:rsidRPr="009C549C">
        <w:rPr>
          <w:rFonts w:ascii="Roboto Condensed Light" w:hAnsi="Roboto Condensed Light" w:cs="Times New Roman"/>
          <w:lang w:val="en-US"/>
        </w:rPr>
        <w:t>] Melbourne: Crime Statistics Agency. Available at: http://www.crimestatistics.vic.gov.au/home/about+the+data/explanatory+notes/ [Accessed 29 Sep. 2015].</w:t>
      </w:r>
    </w:p>
    <w:p w:rsidRPr="009C549C"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sidRPr="009C549C">
        <w:rPr>
          <w:rFonts w:ascii="Roboto Condensed Light" w:hAnsi="Roboto Condensed Light" w:cs="Times New Roman"/>
          <w:lang w:val="en-US"/>
        </w:rPr>
        <w:t xml:space="preserve">Crime Statistics Agency (2016). </w:t>
      </w:r>
      <w:r w:rsidRPr="009C549C">
        <w:rPr>
          <w:rFonts w:ascii="Roboto Condensed Light" w:hAnsi="Roboto Condensed Light" w:cs="Times New Roman"/>
          <w:i/>
          <w:lang w:val="en-US"/>
        </w:rPr>
        <w:t>Family incidents</w:t>
      </w:r>
      <w:r w:rsidRPr="009C549C">
        <w:rPr>
          <w:rFonts w:ascii="Roboto Condensed Light" w:hAnsi="Roboto Condensed Light" w:cs="Times New Roman"/>
          <w:lang w:val="en-US"/>
        </w:rPr>
        <w:t>. [</w:t>
      </w:r>
      <w:proofErr w:type="gramStart"/>
      <w:r w:rsidRPr="009C549C">
        <w:rPr>
          <w:rFonts w:ascii="Roboto Condensed Light" w:hAnsi="Roboto Condensed Light" w:cs="Times New Roman"/>
          <w:lang w:val="en-US"/>
        </w:rPr>
        <w:t>online</w:t>
      </w:r>
      <w:proofErr w:type="gramEnd"/>
      <w:r w:rsidRPr="009C549C">
        <w:rPr>
          <w:rFonts w:ascii="Roboto Condensed Light" w:hAnsi="Roboto Condensed Light" w:cs="Times New Roman"/>
          <w:lang w:val="en-US"/>
        </w:rPr>
        <w:t xml:space="preserve">] Melbourne: Crime Statistics Agency. Available at: http://www.crimestatistics.vic.gov.au/home/crime+statistics/year+ending+31+december+2015/family+incidents [Accessed 18 Apr. 2016]. </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sidRPr="009C549C">
        <w:rPr>
          <w:rFonts w:ascii="Roboto Condensed Light" w:hAnsi="Roboto Condensed Light" w:cs="Times New Roman"/>
          <w:lang w:val="en-US"/>
        </w:rPr>
        <w:t>Department of Human Services, (2012). Family violence risk assessment and risk management framework and practice guides 1-3. 2nd ed. [online] Melbourne: Victorian Government Department of Human Services. Available at: http://www.dhs.vic.gov.au/about-the-department/documents-and-resources/policies,-guidelines-and-legislation/family-violence-risk-assessment-risk-management-framework-manual [Accessed 29 Sep. 2015].</w:t>
      </w:r>
    </w:p>
    <w:p w:rsidRPr="00FD4353"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Pr>
          <w:rFonts w:ascii="Roboto Condensed Light" w:hAnsi="Roboto Condensed Light" w:cs="Times New Roman"/>
          <w:lang w:val="en-US"/>
        </w:rPr>
        <w:t>Felson</w:t>
      </w:r>
      <w:proofErr w:type="spellEnd"/>
      <w:r>
        <w:rPr>
          <w:rFonts w:ascii="Roboto Condensed Light" w:hAnsi="Roboto Condensed Light" w:cs="Times New Roman"/>
          <w:lang w:val="en-US"/>
        </w:rPr>
        <w:t xml:space="preserve">, R.B., Ackerman, J.M. and Gallagher, C. (2005). </w:t>
      </w:r>
      <w:r>
        <w:rPr>
          <w:rFonts w:ascii="Roboto Condensed Light" w:hAnsi="Roboto Condensed Light" w:cs="Times New Roman"/>
          <w:i/>
          <w:lang w:val="en-US"/>
        </w:rPr>
        <w:t xml:space="preserve">Police Intervention and the Repeat of Domestic Assault. </w:t>
      </w:r>
      <w:r>
        <w:rPr>
          <w:rFonts w:ascii="Roboto Condensed Light" w:hAnsi="Roboto Condensed Light" w:cs="Times New Roman"/>
          <w:lang w:val="en-US"/>
        </w:rPr>
        <w:t>[</w:t>
      </w:r>
      <w:proofErr w:type="gramStart"/>
      <w:r>
        <w:rPr>
          <w:rFonts w:ascii="Roboto Condensed Light" w:hAnsi="Roboto Condensed Light" w:cs="Times New Roman"/>
          <w:lang w:val="en-US"/>
        </w:rPr>
        <w:t>online</w:t>
      </w:r>
      <w:proofErr w:type="gramEnd"/>
      <w:r>
        <w:rPr>
          <w:rFonts w:ascii="Roboto Condensed Light" w:hAnsi="Roboto Condensed Light" w:cs="Times New Roman"/>
          <w:lang w:val="en-US"/>
        </w:rPr>
        <w:t>] Washington: National Institute of Justice. Available at: http://www.ncjrs.gov/App/Publications/abstract.aspx?ID=210301 [Accessed 9 May 2016].</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Pr>
          <w:rFonts w:ascii="Roboto Condensed Light" w:hAnsi="Roboto Condensed Light" w:cs="Times New Roman"/>
          <w:lang w:val="en-US"/>
        </w:rPr>
        <w:t xml:space="preserve">Hilton, N.Z. and Harris, G.T. (2005). Predicting wife assault: A critical review and implications for policy and practice. </w:t>
      </w:r>
      <w:r>
        <w:rPr>
          <w:rFonts w:ascii="Roboto Condensed Light" w:hAnsi="Roboto Condensed Light" w:cs="Times New Roman"/>
          <w:i/>
          <w:lang w:val="en-US"/>
        </w:rPr>
        <w:t>Trauma, Violence &amp; Abuse</w:t>
      </w:r>
      <w:r>
        <w:rPr>
          <w:rFonts w:ascii="Roboto Condensed Light" w:hAnsi="Roboto Condensed Light" w:cs="Times New Roman"/>
          <w:lang w:val="en-US"/>
        </w:rPr>
        <w:t>, 6(1), pp. 3-23.</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Pr>
          <w:rFonts w:ascii="Roboto Condensed Light" w:hAnsi="Roboto Condensed Light" w:cs="Times New Roman"/>
          <w:lang w:val="en-US"/>
        </w:rPr>
        <w:t>Hirschel</w:t>
      </w:r>
      <w:proofErr w:type="spellEnd"/>
      <w:r>
        <w:rPr>
          <w:rFonts w:ascii="Roboto Condensed Light" w:hAnsi="Roboto Condensed Light" w:cs="Times New Roman"/>
          <w:lang w:val="en-US"/>
        </w:rPr>
        <w:t xml:space="preserve">, J.D. and Dawson, D.J. (2000). </w:t>
      </w:r>
      <w:r>
        <w:rPr>
          <w:rFonts w:ascii="Roboto Condensed Light" w:hAnsi="Roboto Condensed Light" w:cs="Times New Roman"/>
          <w:i/>
          <w:lang w:val="en-US"/>
        </w:rPr>
        <w:t xml:space="preserve">Violence </w:t>
      </w:r>
      <w:proofErr w:type="gramStart"/>
      <w:r>
        <w:rPr>
          <w:rFonts w:ascii="Roboto Condensed Light" w:hAnsi="Roboto Condensed Light" w:cs="Times New Roman"/>
          <w:i/>
          <w:lang w:val="en-US"/>
        </w:rPr>
        <w:t>Against</w:t>
      </w:r>
      <w:proofErr w:type="gramEnd"/>
      <w:r>
        <w:rPr>
          <w:rFonts w:ascii="Roboto Condensed Light" w:hAnsi="Roboto Condensed Light" w:cs="Times New Roman"/>
          <w:i/>
          <w:lang w:val="en-US"/>
        </w:rPr>
        <w:t xml:space="preserve"> Women: Synthesis of Research for Law Enforcement Officials</w:t>
      </w:r>
      <w:r>
        <w:rPr>
          <w:rFonts w:ascii="Roboto Condensed Light" w:hAnsi="Roboto Condensed Light" w:cs="Times New Roman"/>
          <w:lang w:val="en-US"/>
        </w:rPr>
        <w:t>. [</w:t>
      </w:r>
      <w:proofErr w:type="gramStart"/>
      <w:r>
        <w:rPr>
          <w:rFonts w:ascii="Roboto Condensed Light" w:hAnsi="Roboto Condensed Light" w:cs="Times New Roman"/>
          <w:lang w:val="en-US"/>
        </w:rPr>
        <w:t>online</w:t>
      </w:r>
      <w:proofErr w:type="gramEnd"/>
      <w:r>
        <w:rPr>
          <w:rFonts w:ascii="Roboto Condensed Light" w:hAnsi="Roboto Condensed Light" w:cs="Times New Roman"/>
          <w:lang w:val="en-US"/>
        </w:rPr>
        <w:t>] Washington: National Institute of Justice. Available at: http://www.ncjrs.gov/App/Publications/abstract.aspx?ID=198372 [Accessed 9 May 2016].</w:t>
      </w:r>
    </w:p>
    <w:p w:rsidRPr="001E4E1B"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Pr>
          <w:rFonts w:ascii="Roboto Condensed Light" w:hAnsi="Roboto Condensed Light" w:cs="Times New Roman"/>
          <w:lang w:val="en-US"/>
        </w:rPr>
        <w:t>Hirschel</w:t>
      </w:r>
      <w:proofErr w:type="spellEnd"/>
      <w:r>
        <w:rPr>
          <w:rFonts w:ascii="Roboto Condensed Light" w:hAnsi="Roboto Condensed Light" w:cs="Times New Roman"/>
          <w:lang w:val="en-US"/>
        </w:rPr>
        <w:t xml:space="preserve">, D., </w:t>
      </w:r>
      <w:proofErr w:type="spellStart"/>
      <w:r>
        <w:rPr>
          <w:rFonts w:ascii="Roboto Condensed Light" w:hAnsi="Roboto Condensed Light" w:cs="Times New Roman"/>
          <w:lang w:val="en-US"/>
        </w:rPr>
        <w:t>Buzawa</w:t>
      </w:r>
      <w:proofErr w:type="spellEnd"/>
      <w:r>
        <w:rPr>
          <w:rFonts w:ascii="Roboto Condensed Light" w:hAnsi="Roboto Condensed Light" w:cs="Times New Roman"/>
          <w:lang w:val="en-US"/>
        </w:rPr>
        <w:t xml:space="preserve">, E., </w:t>
      </w:r>
      <w:proofErr w:type="spellStart"/>
      <w:r>
        <w:rPr>
          <w:rFonts w:ascii="Roboto Condensed Light" w:hAnsi="Roboto Condensed Light" w:cs="Times New Roman"/>
          <w:lang w:val="en-US"/>
        </w:rPr>
        <w:t>Pattavina</w:t>
      </w:r>
      <w:proofErr w:type="spellEnd"/>
      <w:r>
        <w:rPr>
          <w:rFonts w:ascii="Roboto Condensed Light" w:hAnsi="Roboto Condensed Light" w:cs="Times New Roman"/>
          <w:lang w:val="en-US"/>
        </w:rPr>
        <w:t xml:space="preserve">, A., </w:t>
      </w:r>
      <w:proofErr w:type="spellStart"/>
      <w:r>
        <w:rPr>
          <w:rFonts w:ascii="Roboto Condensed Light" w:hAnsi="Roboto Condensed Light" w:cs="Times New Roman"/>
          <w:lang w:val="en-US"/>
        </w:rPr>
        <w:t>Faggiani</w:t>
      </w:r>
      <w:proofErr w:type="spellEnd"/>
      <w:r>
        <w:rPr>
          <w:rFonts w:ascii="Roboto Condensed Light" w:hAnsi="Roboto Condensed Light" w:cs="Times New Roman"/>
          <w:lang w:val="en-US"/>
        </w:rPr>
        <w:t xml:space="preserve">, D. and </w:t>
      </w:r>
      <w:proofErr w:type="spellStart"/>
      <w:r>
        <w:rPr>
          <w:rFonts w:ascii="Roboto Condensed Light" w:hAnsi="Roboto Condensed Light" w:cs="Times New Roman"/>
          <w:lang w:val="en-US"/>
        </w:rPr>
        <w:t>Reuland</w:t>
      </w:r>
      <w:proofErr w:type="spellEnd"/>
      <w:r>
        <w:rPr>
          <w:rFonts w:ascii="Roboto Condensed Light" w:hAnsi="Roboto Condensed Light" w:cs="Times New Roman"/>
          <w:lang w:val="en-US"/>
        </w:rPr>
        <w:t xml:space="preserve">, M. (2007). </w:t>
      </w:r>
      <w:r>
        <w:rPr>
          <w:rFonts w:ascii="Roboto Condensed Light" w:hAnsi="Roboto Condensed Light" w:cs="Times New Roman"/>
          <w:i/>
          <w:lang w:val="en-US"/>
        </w:rPr>
        <w:t>Explaining the Prevalence, Context, and Consequences of Dual Arrest in Intimate Partner Cases.</w:t>
      </w:r>
      <w:r>
        <w:rPr>
          <w:rFonts w:ascii="Roboto Condensed Light" w:hAnsi="Roboto Condensed Light" w:cs="Times New Roman"/>
          <w:lang w:val="en-US"/>
        </w:rPr>
        <w:t xml:space="preserve"> [</w:t>
      </w:r>
      <w:proofErr w:type="gramStart"/>
      <w:r>
        <w:rPr>
          <w:rFonts w:ascii="Roboto Condensed Light" w:hAnsi="Roboto Condensed Light" w:cs="Times New Roman"/>
          <w:lang w:val="en-US"/>
        </w:rPr>
        <w:t>online</w:t>
      </w:r>
      <w:proofErr w:type="gramEnd"/>
      <w:r>
        <w:rPr>
          <w:rFonts w:ascii="Roboto Condensed Light" w:hAnsi="Roboto Condensed Light" w:cs="Times New Roman"/>
          <w:lang w:val="en-US"/>
        </w:rPr>
        <w:t>] Washington: National Institute of Justice. Available at: http://www.ncjrs.gov/App/Publications/abstract.aspx?ID=240055 [Accessed 9 May 2016].</w:t>
      </w:r>
    </w:p>
    <w:p w:rsidRPr="009C549C"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sidRPr="009C549C">
        <w:rPr>
          <w:rFonts w:ascii="Roboto Condensed Light" w:hAnsi="Roboto Condensed Light" w:cs="Times New Roman"/>
          <w:lang w:val="en-US"/>
        </w:rPr>
        <w:t>Hosmer</w:t>
      </w:r>
      <w:proofErr w:type="spellEnd"/>
      <w:r w:rsidRPr="009C549C">
        <w:rPr>
          <w:rFonts w:ascii="Roboto Condensed Light" w:hAnsi="Roboto Condensed Light" w:cs="Times New Roman"/>
          <w:lang w:val="en-US"/>
        </w:rPr>
        <w:t xml:space="preserve">, D. and </w:t>
      </w:r>
      <w:proofErr w:type="spellStart"/>
      <w:r w:rsidRPr="009C549C">
        <w:rPr>
          <w:rFonts w:ascii="Roboto Condensed Light" w:hAnsi="Roboto Condensed Light" w:cs="Times New Roman"/>
          <w:lang w:val="en-US"/>
        </w:rPr>
        <w:t>Lemeshow</w:t>
      </w:r>
      <w:proofErr w:type="spellEnd"/>
      <w:r w:rsidRPr="009C549C">
        <w:rPr>
          <w:rFonts w:ascii="Roboto Condensed Light" w:hAnsi="Roboto Condensed Light" w:cs="Times New Roman"/>
          <w:lang w:val="en-US"/>
        </w:rPr>
        <w:t xml:space="preserve">, S. (2000). </w:t>
      </w:r>
      <w:r w:rsidRPr="009C549C">
        <w:rPr>
          <w:rFonts w:ascii="Roboto Condensed Light" w:hAnsi="Roboto Condensed Light" w:cs="Times New Roman"/>
          <w:i/>
          <w:lang w:val="en-US"/>
        </w:rPr>
        <w:t>Applied Logistic Regression.</w:t>
      </w:r>
      <w:r w:rsidRPr="009C549C">
        <w:rPr>
          <w:rFonts w:ascii="Roboto Condensed Light" w:hAnsi="Roboto Condensed Light" w:cs="Times New Roman"/>
          <w:lang w:val="en-US"/>
        </w:rPr>
        <w:t xml:space="preserve"> 2nd ed. Hoboken: John Wiley &amp; Sons.</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sidRPr="009C549C">
        <w:rPr>
          <w:rFonts w:ascii="Roboto Condensed Light" w:hAnsi="Roboto Condensed Light" w:cs="Times New Roman"/>
          <w:lang w:val="en-US"/>
        </w:rPr>
        <w:t>Kingsnorth</w:t>
      </w:r>
      <w:proofErr w:type="spellEnd"/>
      <w:r w:rsidRPr="009C549C">
        <w:rPr>
          <w:rFonts w:ascii="Roboto Condensed Light" w:hAnsi="Roboto Condensed Light" w:cs="Times New Roman"/>
          <w:lang w:val="en-US"/>
        </w:rPr>
        <w:t xml:space="preserve">, R. (2006). Intimate partner violence: Predictors of recidivism in a sample of arrestees. </w:t>
      </w:r>
      <w:r w:rsidRPr="009C549C">
        <w:rPr>
          <w:rFonts w:ascii="Roboto Condensed Light" w:hAnsi="Roboto Condensed Light" w:cs="Times New Roman"/>
          <w:i/>
          <w:lang w:val="en-US"/>
        </w:rPr>
        <w:t xml:space="preserve">Violence </w:t>
      </w:r>
      <w:proofErr w:type="gramStart"/>
      <w:r w:rsidRPr="009C549C">
        <w:rPr>
          <w:rFonts w:ascii="Roboto Condensed Light" w:hAnsi="Roboto Condensed Light" w:cs="Times New Roman"/>
          <w:i/>
          <w:lang w:val="en-US"/>
        </w:rPr>
        <w:t>Against</w:t>
      </w:r>
      <w:proofErr w:type="gramEnd"/>
      <w:r w:rsidRPr="009C549C">
        <w:rPr>
          <w:rFonts w:ascii="Roboto Condensed Light" w:hAnsi="Roboto Condensed Light" w:cs="Times New Roman"/>
          <w:i/>
          <w:lang w:val="en-US"/>
        </w:rPr>
        <w:t xml:space="preserve"> Women</w:t>
      </w:r>
      <w:r w:rsidRPr="009C549C">
        <w:rPr>
          <w:rFonts w:ascii="Roboto Condensed Light" w:hAnsi="Roboto Condensed Light" w:cs="Times New Roman"/>
          <w:lang w:val="en-US"/>
        </w:rPr>
        <w:t>, 12(10), pp. 917-935.</w:t>
      </w:r>
    </w:p>
    <w:p w:rsidRPr="002B6314"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Pr>
          <w:rFonts w:ascii="Roboto Condensed Light" w:hAnsi="Roboto Condensed Light" w:cs="Times New Roman"/>
          <w:lang w:val="en-US"/>
        </w:rPr>
        <w:t xml:space="preserve">Klein, A.R. (2009). </w:t>
      </w:r>
      <w:r>
        <w:rPr>
          <w:rFonts w:ascii="Roboto Condensed Light" w:hAnsi="Roboto Condensed Light" w:cs="Times New Roman"/>
          <w:i/>
          <w:lang w:val="en-US"/>
        </w:rPr>
        <w:t>Practical Implications of Current Domestic Violence Research: For Law Enforcement, Prosecutors and Judges.</w:t>
      </w:r>
      <w:r>
        <w:rPr>
          <w:rFonts w:ascii="Roboto Condensed Light" w:hAnsi="Roboto Condensed Light" w:cs="Times New Roman"/>
          <w:lang w:val="en-US"/>
        </w:rPr>
        <w:t xml:space="preserve"> [</w:t>
      </w:r>
      <w:proofErr w:type="gramStart"/>
      <w:r>
        <w:rPr>
          <w:rFonts w:ascii="Roboto Condensed Light" w:hAnsi="Roboto Condensed Light" w:cs="Times New Roman"/>
          <w:lang w:val="en-US"/>
        </w:rPr>
        <w:t>online</w:t>
      </w:r>
      <w:proofErr w:type="gramEnd"/>
      <w:r>
        <w:rPr>
          <w:rFonts w:ascii="Roboto Condensed Light" w:hAnsi="Roboto Condensed Light" w:cs="Times New Roman"/>
          <w:lang w:val="en-US"/>
        </w:rPr>
        <w:t>] Washington: National Institute of Justice. Available at: https://www.ncjrs.gov/pdffiles1/nij/225722.pdf [Accessed 9 May 2016].</w:t>
      </w:r>
    </w:p>
    <w:p w:rsidRPr="009C549C"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sidRPr="009C549C">
        <w:rPr>
          <w:rFonts w:ascii="Roboto Condensed Light" w:hAnsi="Roboto Condensed Light" w:cs="Times New Roman"/>
          <w:lang w:val="en-US"/>
        </w:rPr>
        <w:t>Kropp</w:t>
      </w:r>
      <w:proofErr w:type="spellEnd"/>
      <w:r w:rsidRPr="009C549C">
        <w:rPr>
          <w:rFonts w:ascii="Roboto Condensed Light" w:hAnsi="Roboto Condensed Light" w:cs="Times New Roman"/>
          <w:lang w:val="en-US"/>
        </w:rPr>
        <w:t xml:space="preserve">, P.R. (2004). Some questions regarding spousal assault risk assessment. </w:t>
      </w:r>
      <w:r w:rsidRPr="009C549C">
        <w:rPr>
          <w:rFonts w:ascii="Roboto Condensed Light" w:hAnsi="Roboto Condensed Light" w:cs="Times New Roman"/>
          <w:i/>
          <w:lang w:val="en-US"/>
        </w:rPr>
        <w:t xml:space="preserve">Violence </w:t>
      </w:r>
      <w:proofErr w:type="gramStart"/>
      <w:r w:rsidRPr="009C549C">
        <w:rPr>
          <w:rFonts w:ascii="Roboto Condensed Light" w:hAnsi="Roboto Condensed Light" w:cs="Times New Roman"/>
          <w:i/>
          <w:lang w:val="en-US"/>
        </w:rPr>
        <w:t>Against</w:t>
      </w:r>
      <w:proofErr w:type="gramEnd"/>
      <w:r w:rsidRPr="009C549C">
        <w:rPr>
          <w:rFonts w:ascii="Roboto Condensed Light" w:hAnsi="Roboto Condensed Light" w:cs="Times New Roman"/>
          <w:i/>
          <w:lang w:val="en-US"/>
        </w:rPr>
        <w:t xml:space="preserve"> Women</w:t>
      </w:r>
      <w:r w:rsidRPr="009C549C">
        <w:rPr>
          <w:rFonts w:ascii="Roboto Condensed Light" w:hAnsi="Roboto Condensed Light" w:cs="Times New Roman"/>
          <w:lang w:val="en-US"/>
        </w:rPr>
        <w:t>, 10(6), pp. 676-697.</w:t>
      </w:r>
    </w:p>
    <w:p w:rsidRPr="00F92CA2"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Pr>
          <w:rFonts w:ascii="Roboto Condensed Light" w:hAnsi="Roboto Condensed Light" w:cs="Times New Roman"/>
          <w:lang w:val="en-US"/>
        </w:rPr>
        <w:t>Kyriacou</w:t>
      </w:r>
      <w:proofErr w:type="spellEnd"/>
      <w:r>
        <w:rPr>
          <w:rFonts w:ascii="Roboto Condensed Light" w:hAnsi="Roboto Condensed Light" w:cs="Times New Roman"/>
          <w:lang w:val="en-US"/>
        </w:rPr>
        <w:t xml:space="preserve">, D.N., Anglin, D., Taliaferro, E., Stone, S., </w:t>
      </w:r>
      <w:proofErr w:type="spellStart"/>
      <w:r>
        <w:rPr>
          <w:rFonts w:ascii="Roboto Condensed Light" w:hAnsi="Roboto Condensed Light" w:cs="Times New Roman"/>
          <w:lang w:val="en-US"/>
        </w:rPr>
        <w:t>Tubb</w:t>
      </w:r>
      <w:proofErr w:type="spellEnd"/>
      <w:r>
        <w:rPr>
          <w:rFonts w:ascii="Roboto Condensed Light" w:hAnsi="Roboto Condensed Light" w:cs="Times New Roman"/>
          <w:lang w:val="en-US"/>
        </w:rPr>
        <w:t xml:space="preserve">, T., Linden, J.A., </w:t>
      </w:r>
      <w:proofErr w:type="spellStart"/>
      <w:r>
        <w:rPr>
          <w:rFonts w:ascii="Roboto Condensed Light" w:hAnsi="Roboto Condensed Light" w:cs="Times New Roman"/>
          <w:lang w:val="en-US"/>
        </w:rPr>
        <w:t>Muelleman</w:t>
      </w:r>
      <w:proofErr w:type="spellEnd"/>
      <w:r>
        <w:rPr>
          <w:rFonts w:ascii="Roboto Condensed Light" w:hAnsi="Roboto Condensed Light" w:cs="Times New Roman"/>
          <w:lang w:val="en-US"/>
        </w:rPr>
        <w:t xml:space="preserve">, R., Barton, E. and Kraus, J.F. (1999). Risk factors for injury to women from domestic violence. </w:t>
      </w:r>
      <w:r>
        <w:rPr>
          <w:rFonts w:ascii="Roboto Condensed Light" w:hAnsi="Roboto Condensed Light" w:cs="Times New Roman"/>
          <w:i/>
          <w:lang w:val="en-US"/>
        </w:rPr>
        <w:t>The New England Journal of Medicine</w:t>
      </w:r>
      <w:r>
        <w:rPr>
          <w:rFonts w:ascii="Roboto Condensed Light" w:hAnsi="Roboto Condensed Light" w:cs="Times New Roman"/>
          <w:lang w:val="en-US"/>
        </w:rPr>
        <w:t>, 341(25), pp. 1892-1898.</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eastAsia="MS Mincho" w:cs="Times New Roman"/>
        </w:rPr>
      </w:pPr>
      <w:proofErr w:type="spellStart"/>
      <w:r w:rsidRPr="009C549C">
        <w:rPr>
          <w:rFonts w:ascii="Roboto Condensed Light" w:hAnsi="Roboto Condensed Light" w:eastAsia="MS Mincho" w:cs="Times New Roman"/>
        </w:rPr>
        <w:t>Ménard</w:t>
      </w:r>
      <w:proofErr w:type="spellEnd"/>
      <w:r w:rsidRPr="009C549C">
        <w:rPr>
          <w:rFonts w:ascii="Roboto Condensed Light" w:hAnsi="Roboto Condensed Light" w:eastAsia="MS Mincho" w:cs="Times New Roman"/>
        </w:rPr>
        <w:t xml:space="preserve">, K.S., Anderson, A.L., and </w:t>
      </w:r>
      <w:proofErr w:type="spellStart"/>
      <w:r w:rsidRPr="009C549C">
        <w:rPr>
          <w:rFonts w:ascii="Roboto Condensed Light" w:hAnsi="Roboto Condensed Light" w:eastAsia="MS Mincho" w:cs="Times New Roman"/>
        </w:rPr>
        <w:t>Godboldt</w:t>
      </w:r>
      <w:proofErr w:type="spellEnd"/>
      <w:r w:rsidRPr="009C549C">
        <w:rPr>
          <w:rFonts w:ascii="Roboto Condensed Light" w:hAnsi="Roboto Condensed Light" w:eastAsia="MS Mincho" w:cs="Times New Roman"/>
        </w:rPr>
        <w:t xml:space="preserve">, S.M. (2009). Gender differences in intimate partner recidivism: A 5-year follow-up. </w:t>
      </w:r>
      <w:r w:rsidRPr="009C549C">
        <w:rPr>
          <w:rFonts w:ascii="Roboto Condensed Light" w:hAnsi="Roboto Condensed Light" w:eastAsia="MS Mincho" w:cs="Times New Roman"/>
          <w:i/>
        </w:rPr>
        <w:t xml:space="preserve">Criminal Justice and </w:t>
      </w:r>
      <w:proofErr w:type="spellStart"/>
      <w:r w:rsidRPr="009C549C">
        <w:rPr>
          <w:rFonts w:ascii="Roboto Condensed Light" w:hAnsi="Roboto Condensed Light" w:eastAsia="MS Mincho" w:cs="Times New Roman"/>
          <w:i/>
        </w:rPr>
        <w:t>Behavior</w:t>
      </w:r>
      <w:proofErr w:type="spellEnd"/>
      <w:r w:rsidRPr="009C549C">
        <w:rPr>
          <w:rFonts w:ascii="Roboto Condensed Light" w:hAnsi="Roboto Condensed Light" w:eastAsia="MS Mincho" w:cs="Times New Roman"/>
        </w:rPr>
        <w:t>, 36(1), pp. 61-76.</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eastAsia="MS Mincho" w:cs="Times New Roman"/>
        </w:rPr>
      </w:pPr>
      <w:r w:rsidRPr="009C549C">
        <w:rPr>
          <w:rFonts w:ascii="Roboto Condensed Light" w:hAnsi="Roboto Condensed Light" w:eastAsia="MS Mincho" w:cs="Times New Roman"/>
        </w:rPr>
        <w:t xml:space="preserve">Messing, J.T. and </w:t>
      </w:r>
      <w:proofErr w:type="spellStart"/>
      <w:r w:rsidRPr="009C549C">
        <w:rPr>
          <w:rFonts w:ascii="Roboto Condensed Light" w:hAnsi="Roboto Condensed Light" w:eastAsia="MS Mincho" w:cs="Times New Roman"/>
        </w:rPr>
        <w:t>Thaller</w:t>
      </w:r>
      <w:proofErr w:type="spellEnd"/>
      <w:r w:rsidRPr="009C549C">
        <w:rPr>
          <w:rFonts w:ascii="Roboto Condensed Light" w:hAnsi="Roboto Condensed Light" w:eastAsia="MS Mincho" w:cs="Times New Roman"/>
        </w:rPr>
        <w:t xml:space="preserve">, J. (2013). The average predictive validity of intimate partner violence risk assessment instruments. </w:t>
      </w:r>
      <w:r w:rsidRPr="009C549C">
        <w:rPr>
          <w:rFonts w:ascii="Roboto Condensed Light" w:hAnsi="Roboto Condensed Light" w:eastAsia="MS Mincho" w:cs="Times New Roman"/>
          <w:i/>
        </w:rPr>
        <w:t>Journal of Interpersonal Violence</w:t>
      </w:r>
      <w:r w:rsidRPr="009C549C">
        <w:rPr>
          <w:rFonts w:ascii="Roboto Condensed Light" w:hAnsi="Roboto Condensed Light" w:eastAsia="MS Mincho" w:cs="Times New Roman"/>
        </w:rPr>
        <w:t>, 28(7), pp. 1537-1558.</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sidRPr="009C549C">
        <w:rPr>
          <w:rFonts w:ascii="Roboto Condensed Light" w:hAnsi="Roboto Condensed Light" w:cs="Times New Roman"/>
          <w:lang w:val="en-US"/>
        </w:rPr>
        <w:t>Millsteed</w:t>
      </w:r>
      <w:proofErr w:type="spellEnd"/>
      <w:r w:rsidRPr="009C549C">
        <w:rPr>
          <w:rFonts w:ascii="Roboto Condensed Light" w:hAnsi="Roboto Condensed Light" w:cs="Times New Roman"/>
          <w:lang w:val="en-US"/>
        </w:rPr>
        <w:t xml:space="preserve">, M. (2016). </w:t>
      </w:r>
      <w:r w:rsidRPr="009C549C">
        <w:rPr>
          <w:rFonts w:ascii="Roboto Condensed Light" w:hAnsi="Roboto Condensed Light" w:cs="Times New Roman"/>
          <w:i/>
          <w:lang w:val="en-US"/>
        </w:rPr>
        <w:t>How many family violence perpetrators were there in Victoria over the past 10 years?</w:t>
      </w:r>
      <w:r w:rsidRPr="009C549C">
        <w:rPr>
          <w:rFonts w:ascii="Roboto Condensed Light" w:hAnsi="Roboto Condensed Light" w:cs="Times New Roman"/>
          <w:lang w:val="en-US"/>
        </w:rPr>
        <w:t xml:space="preserve"> In Fact, No. 2, Melbourne: Crime Statistics Agency.</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sectPr w:rsidR="001B57E5" w:rsidSect="00F33021">
          <w:headerReference r:id="rId8" w:type="even"/>
          <w:headerReference r:id="rId9" w:type="default"/>
          <w:footerReference r:id="rId10" w:type="even"/>
          <w:footerReference r:id="rId11" w:type="default"/>
          <w:headerReference r:id="rId12" w:type="first"/>
          <w:footerReference r:id="rId13" w:type="first"/>
          <w:pgSz w:w="11906" w:h="16838"/>
          <w:pgMar w:top="1440" w:right="849" w:bottom="1440" w:left="1440" w:header="0" w:footer="0" w:gutter="0"/>
          <w:cols w:space="708"/>
          <w:titlePg/>
          <w:docGrid w:linePitch="360"/>
        </w:sectPr>
      </w:pPr>
    </w:p>
    <w:p w:rsidRPr="00F92CA2"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Pr>
          <w:rFonts w:ascii="Roboto Condensed Light" w:hAnsi="Roboto Condensed Light" w:cs="Times New Roman"/>
          <w:lang w:val="en-US"/>
        </w:rPr>
        <w:t>Orchowsky</w:t>
      </w:r>
      <w:proofErr w:type="spellEnd"/>
      <w:r>
        <w:rPr>
          <w:rFonts w:ascii="Roboto Condensed Light" w:hAnsi="Roboto Condensed Light" w:cs="Times New Roman"/>
          <w:lang w:val="en-US"/>
        </w:rPr>
        <w:t xml:space="preserve">, S.J. (1999). </w:t>
      </w:r>
      <w:r>
        <w:rPr>
          <w:rFonts w:ascii="Roboto Condensed Light" w:hAnsi="Roboto Condensed Light" w:cs="Times New Roman"/>
          <w:i/>
          <w:lang w:val="en-US"/>
        </w:rPr>
        <w:t>Evaluation of a Coordinated Community Response to Domestic Violence: The Alexandria Domestic Violence Intervention Project – Final Report</w:t>
      </w:r>
      <w:r>
        <w:rPr>
          <w:rFonts w:ascii="Roboto Condensed Light" w:hAnsi="Roboto Condensed Light" w:cs="Times New Roman"/>
          <w:lang w:val="en-US"/>
        </w:rPr>
        <w:t>. [</w:t>
      </w:r>
      <w:proofErr w:type="gramStart"/>
      <w:r>
        <w:rPr>
          <w:rFonts w:ascii="Roboto Condensed Light" w:hAnsi="Roboto Condensed Light" w:cs="Times New Roman"/>
          <w:lang w:val="en-US"/>
        </w:rPr>
        <w:t>online</w:t>
      </w:r>
      <w:proofErr w:type="gramEnd"/>
      <w:r>
        <w:rPr>
          <w:rFonts w:ascii="Roboto Condensed Light" w:hAnsi="Roboto Condensed Light" w:cs="Times New Roman"/>
          <w:lang w:val="en-US"/>
        </w:rPr>
        <w:t>] Richmond: Applied Research Associates. Available at: http://www.ncjrs.gov/App/Publications/abstract.aspx?ID=179974 [Accessed 9 May 2016].</w:t>
      </w:r>
    </w:p>
    <w:p w:rsidRPr="008E0C13"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Pr>
          <w:rFonts w:ascii="Roboto Condensed Light" w:hAnsi="Roboto Condensed Light" w:cs="Times New Roman"/>
          <w:lang w:val="en-US"/>
        </w:rPr>
        <w:t>Puffett</w:t>
      </w:r>
      <w:proofErr w:type="spellEnd"/>
      <w:r>
        <w:rPr>
          <w:rFonts w:ascii="Roboto Condensed Light" w:hAnsi="Roboto Condensed Light" w:cs="Times New Roman"/>
          <w:lang w:val="en-US"/>
        </w:rPr>
        <w:t xml:space="preserve">, N.K. and Gavin, C. (2004). </w:t>
      </w:r>
      <w:r>
        <w:rPr>
          <w:rFonts w:ascii="Roboto Condensed Light" w:hAnsi="Roboto Condensed Light" w:cs="Times New Roman"/>
          <w:i/>
          <w:lang w:val="en-US"/>
        </w:rPr>
        <w:t xml:space="preserve">Predictors of Program Outcome &amp; Recidivism at the Bronx </w:t>
      </w:r>
      <w:proofErr w:type="spellStart"/>
      <w:r>
        <w:rPr>
          <w:rFonts w:ascii="Roboto Condensed Light" w:hAnsi="Roboto Condensed Light" w:cs="Times New Roman"/>
          <w:i/>
          <w:lang w:val="en-US"/>
        </w:rPr>
        <w:t>Misemeanor</w:t>
      </w:r>
      <w:proofErr w:type="spellEnd"/>
      <w:r>
        <w:rPr>
          <w:rFonts w:ascii="Roboto Condensed Light" w:hAnsi="Roboto Condensed Light" w:cs="Times New Roman"/>
          <w:i/>
          <w:lang w:val="en-US"/>
        </w:rPr>
        <w:t xml:space="preserve"> Domestic Violence Court</w:t>
      </w:r>
      <w:r>
        <w:rPr>
          <w:rFonts w:ascii="Roboto Condensed Light" w:hAnsi="Roboto Condensed Light" w:cs="Times New Roman"/>
          <w:lang w:val="en-US"/>
        </w:rPr>
        <w:t>. [</w:t>
      </w:r>
      <w:proofErr w:type="gramStart"/>
      <w:r>
        <w:rPr>
          <w:rFonts w:ascii="Roboto Condensed Light" w:hAnsi="Roboto Condensed Light" w:cs="Times New Roman"/>
          <w:lang w:val="en-US"/>
        </w:rPr>
        <w:t>online</w:t>
      </w:r>
      <w:proofErr w:type="gramEnd"/>
      <w:r>
        <w:rPr>
          <w:rFonts w:ascii="Roboto Condensed Light" w:hAnsi="Roboto Condensed Light" w:cs="Times New Roman"/>
          <w:lang w:val="en-US"/>
        </w:rPr>
        <w:t>] New York: Center for Court Innovation. Available at: http://www.courtinnovation.org/_uploads/documents/predictorsbronxdv.pdf [Accessed 9 May 2016].</w:t>
      </w:r>
    </w:p>
    <w:p w:rsidRPr="00466284"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sidRPr="009C549C">
        <w:rPr>
          <w:rFonts w:ascii="Roboto Condensed Light" w:hAnsi="Roboto Condensed Light" w:cs="Times New Roman"/>
          <w:lang w:val="en-US"/>
        </w:rPr>
        <w:t>State of Victoria (2016</w:t>
      </w:r>
      <w:r>
        <w:rPr>
          <w:rFonts w:ascii="Roboto Condensed Light" w:hAnsi="Roboto Condensed Light" w:cs="Times New Roman"/>
          <w:lang w:val="en-US"/>
        </w:rPr>
        <w:t>a</w:t>
      </w:r>
      <w:r w:rsidRPr="009C549C">
        <w:rPr>
          <w:rFonts w:ascii="Roboto Condensed Light" w:hAnsi="Roboto Condensed Light" w:cs="Times New Roman"/>
          <w:lang w:val="en-US"/>
        </w:rPr>
        <w:t xml:space="preserve">). </w:t>
      </w:r>
      <w:r w:rsidRPr="009C549C">
        <w:rPr>
          <w:rFonts w:ascii="Roboto Condensed Light" w:hAnsi="Roboto Condensed Light" w:cs="Times New Roman"/>
          <w:i/>
          <w:lang w:val="en-US"/>
        </w:rPr>
        <w:t xml:space="preserve">Royal Commission into Family Violence: </w:t>
      </w:r>
      <w:r>
        <w:rPr>
          <w:rFonts w:ascii="Roboto Condensed Light" w:hAnsi="Roboto Condensed Light" w:cs="Times New Roman"/>
          <w:i/>
          <w:lang w:val="en-US"/>
        </w:rPr>
        <w:t>Summary and recommendations</w:t>
      </w:r>
      <w:r w:rsidRPr="009C549C">
        <w:rPr>
          <w:rFonts w:ascii="Roboto Condensed Light" w:hAnsi="Roboto Condensed Light" w:cs="Times New Roman"/>
          <w:lang w:val="en-US"/>
        </w:rPr>
        <w:t>, Parliamentary Paper No. 132 (2014-16).</w:t>
      </w:r>
    </w:p>
    <w:p w:rsidRPr="009C549C"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sidRPr="009C549C">
        <w:rPr>
          <w:rFonts w:ascii="Roboto Condensed Light" w:hAnsi="Roboto Condensed Light" w:cs="Times New Roman"/>
          <w:lang w:val="en-US"/>
        </w:rPr>
        <w:t>State of Victoria (2016</w:t>
      </w:r>
      <w:r>
        <w:rPr>
          <w:rFonts w:ascii="Roboto Condensed Light" w:hAnsi="Roboto Condensed Light" w:cs="Times New Roman"/>
          <w:lang w:val="en-US"/>
        </w:rPr>
        <w:t>b</w:t>
      </w:r>
      <w:r w:rsidRPr="009C549C">
        <w:rPr>
          <w:rFonts w:ascii="Roboto Condensed Light" w:hAnsi="Roboto Condensed Light" w:cs="Times New Roman"/>
          <w:lang w:val="en-US"/>
        </w:rPr>
        <w:t xml:space="preserve">). </w:t>
      </w:r>
      <w:r w:rsidRPr="009C549C">
        <w:rPr>
          <w:rFonts w:ascii="Roboto Condensed Light" w:hAnsi="Roboto Condensed Light" w:cs="Times New Roman"/>
          <w:i/>
          <w:lang w:val="en-US"/>
        </w:rPr>
        <w:t xml:space="preserve">Royal Commission into Family Violence: Report and recommendations, </w:t>
      </w:r>
      <w:proofErr w:type="spellStart"/>
      <w:r w:rsidRPr="009C549C">
        <w:rPr>
          <w:rFonts w:ascii="Roboto Condensed Light" w:hAnsi="Roboto Condensed Light" w:cs="Times New Roman"/>
          <w:i/>
          <w:lang w:val="en-US"/>
        </w:rPr>
        <w:t>Vol</w:t>
      </w:r>
      <w:proofErr w:type="spellEnd"/>
      <w:r w:rsidRPr="009C549C">
        <w:rPr>
          <w:rFonts w:ascii="Roboto Condensed Light" w:hAnsi="Roboto Condensed Light" w:cs="Times New Roman"/>
          <w:i/>
          <w:lang w:val="en-US"/>
        </w:rPr>
        <w:t xml:space="preserve"> VII</w:t>
      </w:r>
      <w:r w:rsidRPr="009C549C">
        <w:rPr>
          <w:rFonts w:ascii="Roboto Condensed Light" w:hAnsi="Roboto Condensed Light" w:cs="Times New Roman"/>
          <w:lang w:val="en-US"/>
        </w:rPr>
        <w:t>, Parliamentary Paper No. 132 (2014-16).</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Pr>
          <w:rFonts w:ascii="Roboto Condensed Light" w:hAnsi="Roboto Condensed Light" w:cs="Times New Roman"/>
          <w:lang w:val="en-US"/>
        </w:rPr>
        <w:t xml:space="preserve">Taft, A., Watson, L.  </w:t>
      </w:r>
      <w:proofErr w:type="gramStart"/>
      <w:r>
        <w:rPr>
          <w:rFonts w:ascii="Roboto Condensed Light" w:hAnsi="Roboto Condensed Light" w:cs="Times New Roman"/>
          <w:lang w:val="en-US"/>
        </w:rPr>
        <w:t>and</w:t>
      </w:r>
      <w:proofErr w:type="gramEnd"/>
      <w:r>
        <w:rPr>
          <w:rFonts w:ascii="Roboto Condensed Light" w:hAnsi="Roboto Condensed Light" w:cs="Times New Roman"/>
          <w:lang w:val="en-US"/>
        </w:rPr>
        <w:t xml:space="preserve"> Lee, G. (2004). Violence against young Australian women and association with reproductive events: A cross sectional analysis of a national population sample. </w:t>
      </w:r>
      <w:r>
        <w:rPr>
          <w:rFonts w:ascii="Roboto Condensed Light" w:hAnsi="Roboto Condensed Light" w:cs="Times New Roman"/>
          <w:i/>
          <w:lang w:val="en-US"/>
        </w:rPr>
        <w:t>Australian and New Zealand Journal of Public Health, 28</w:t>
      </w:r>
      <w:r>
        <w:rPr>
          <w:rFonts w:ascii="Roboto Condensed Light" w:hAnsi="Roboto Condensed Light" w:cs="Times New Roman"/>
          <w:lang w:val="en-US"/>
        </w:rPr>
        <w:t xml:space="preserve">(4), 324-329. </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sidRPr="009C549C">
        <w:rPr>
          <w:rFonts w:ascii="Roboto Condensed Light" w:hAnsi="Roboto Condensed Light" w:cs="Times New Roman"/>
          <w:lang w:val="en-US"/>
        </w:rPr>
        <w:t xml:space="preserve">Victoria Police (2014). </w:t>
      </w:r>
      <w:r w:rsidRPr="002C0511">
        <w:rPr>
          <w:rFonts w:ascii="Roboto Condensed Light" w:hAnsi="Roboto Condensed Light" w:cs="Times New Roman"/>
          <w:i/>
          <w:lang w:val="en-US"/>
        </w:rPr>
        <w:t>Code of practice for the investigation of family violence.</w:t>
      </w:r>
      <w:r w:rsidRPr="009C549C">
        <w:rPr>
          <w:rFonts w:ascii="Roboto Condensed Light" w:hAnsi="Roboto Condensed Light" w:cs="Times New Roman"/>
          <w:lang w:val="en-US"/>
        </w:rPr>
        <w:t xml:space="preserve"> 3rd ed. [online] Melbourne: Victoria Police. Available at: http://www.police.vic.gov.au/content.asp?a=internetBridgingPage&amp;Media_ID=464 [Accessed 29 Sep. 2015].</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Pr>
          <w:rFonts w:ascii="Roboto Condensed Light" w:hAnsi="Roboto Condensed Light" w:cs="Times New Roman"/>
          <w:lang w:val="en-US"/>
        </w:rPr>
        <w:t xml:space="preserve">Ventura, L. and Davis, G. (2005). Domestic violence: Court case conviction and recidivism. </w:t>
      </w:r>
      <w:r>
        <w:rPr>
          <w:rFonts w:ascii="Roboto Condensed Light" w:hAnsi="Roboto Condensed Light" w:cs="Times New Roman"/>
          <w:i/>
          <w:lang w:val="en-US"/>
        </w:rPr>
        <w:t xml:space="preserve">Violence </w:t>
      </w:r>
      <w:proofErr w:type="gramStart"/>
      <w:r>
        <w:rPr>
          <w:rFonts w:ascii="Roboto Condensed Light" w:hAnsi="Roboto Condensed Light" w:cs="Times New Roman"/>
          <w:i/>
          <w:lang w:val="en-US"/>
        </w:rPr>
        <w:t>Against</w:t>
      </w:r>
      <w:proofErr w:type="gramEnd"/>
      <w:r>
        <w:rPr>
          <w:rFonts w:ascii="Roboto Condensed Light" w:hAnsi="Roboto Condensed Light" w:cs="Times New Roman"/>
          <w:i/>
          <w:lang w:val="en-US"/>
        </w:rPr>
        <w:t xml:space="preserve"> Women, </w:t>
      </w:r>
      <w:r w:rsidRPr="000A701B">
        <w:rPr>
          <w:rFonts w:ascii="Roboto Condensed Light" w:hAnsi="Roboto Condensed Light" w:cs="Times New Roman"/>
          <w:lang w:val="en-US"/>
        </w:rPr>
        <w:t>11(2)</w:t>
      </w:r>
      <w:r>
        <w:rPr>
          <w:rFonts w:ascii="Roboto Condensed Light" w:hAnsi="Roboto Condensed Light" w:cs="Times New Roman"/>
          <w:lang w:val="en-US"/>
        </w:rPr>
        <w:t>, pp. 255-277.</w:t>
      </w:r>
    </w:p>
    <w:p w:rsidRPr="0096534B"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r>
        <w:rPr>
          <w:rFonts w:ascii="Roboto Condensed Light" w:hAnsi="Roboto Condensed Light" w:cs="Times New Roman"/>
          <w:lang w:val="en-US"/>
        </w:rPr>
        <w:t>Weisz, A., Canales-</w:t>
      </w:r>
      <w:proofErr w:type="spellStart"/>
      <w:r>
        <w:rPr>
          <w:rFonts w:ascii="Roboto Condensed Light" w:hAnsi="Roboto Condensed Light" w:cs="Times New Roman"/>
          <w:lang w:val="en-US"/>
        </w:rPr>
        <w:t>Portalatin</w:t>
      </w:r>
      <w:proofErr w:type="spellEnd"/>
      <w:r>
        <w:rPr>
          <w:rFonts w:ascii="Roboto Condensed Light" w:hAnsi="Roboto Condensed Light" w:cs="Times New Roman"/>
          <w:lang w:val="en-US"/>
        </w:rPr>
        <w:t xml:space="preserve">, D. and </w:t>
      </w:r>
      <w:proofErr w:type="spellStart"/>
      <w:r>
        <w:rPr>
          <w:rFonts w:ascii="Roboto Condensed Light" w:hAnsi="Roboto Condensed Light" w:cs="Times New Roman"/>
          <w:lang w:val="en-US"/>
        </w:rPr>
        <w:t>Nahan</w:t>
      </w:r>
      <w:proofErr w:type="spellEnd"/>
      <w:r>
        <w:rPr>
          <w:rFonts w:ascii="Roboto Condensed Light" w:hAnsi="Roboto Condensed Light" w:cs="Times New Roman"/>
          <w:lang w:val="en-US"/>
        </w:rPr>
        <w:t xml:space="preserve">, N. (2001). </w:t>
      </w:r>
      <w:r>
        <w:rPr>
          <w:rFonts w:ascii="Roboto Condensed Light" w:hAnsi="Roboto Condensed Light" w:cs="Times New Roman"/>
          <w:i/>
          <w:lang w:val="en-US"/>
        </w:rPr>
        <w:t xml:space="preserve">Evaluation of Victim Advocacy </w:t>
      </w:r>
      <w:proofErr w:type="gramStart"/>
      <w:r>
        <w:rPr>
          <w:rFonts w:ascii="Roboto Condensed Light" w:hAnsi="Roboto Condensed Light" w:cs="Times New Roman"/>
          <w:i/>
          <w:lang w:val="en-US"/>
        </w:rPr>
        <w:t>Within</w:t>
      </w:r>
      <w:proofErr w:type="gramEnd"/>
      <w:r>
        <w:rPr>
          <w:rFonts w:ascii="Roboto Condensed Light" w:hAnsi="Roboto Condensed Light" w:cs="Times New Roman"/>
          <w:i/>
          <w:lang w:val="en-US"/>
        </w:rPr>
        <w:t xml:space="preserve"> a Team Approach: Final Report Summary. </w:t>
      </w:r>
      <w:r>
        <w:rPr>
          <w:rFonts w:ascii="Roboto Condensed Light" w:hAnsi="Roboto Condensed Light" w:cs="Times New Roman"/>
          <w:lang w:val="en-US"/>
        </w:rPr>
        <w:t>[</w:t>
      </w:r>
      <w:proofErr w:type="gramStart"/>
      <w:r>
        <w:rPr>
          <w:rFonts w:ascii="Roboto Condensed Light" w:hAnsi="Roboto Condensed Light" w:cs="Times New Roman"/>
          <w:lang w:val="en-US"/>
        </w:rPr>
        <w:t>online</w:t>
      </w:r>
      <w:proofErr w:type="gramEnd"/>
      <w:r>
        <w:rPr>
          <w:rFonts w:ascii="Roboto Condensed Light" w:hAnsi="Roboto Condensed Light" w:cs="Times New Roman"/>
          <w:lang w:val="en-US"/>
        </w:rPr>
        <w:t xml:space="preserve">] Washington: National Institute of Justice. Available at: </w:t>
      </w:r>
      <w:r w:rsidRPr="00423A37">
        <w:rPr>
          <w:rFonts w:ascii="Roboto Condensed Light" w:hAnsi="Roboto Condensed Light" w:cs="Times New Roman"/>
          <w:lang w:val="en-US"/>
        </w:rPr>
        <w:t>http://www.ncjrs.gov.au/App/Publications/abstract.aspx?ID=187107</w:t>
      </w:r>
      <w:r>
        <w:rPr>
          <w:rFonts w:ascii="Roboto Condensed Light" w:hAnsi="Roboto Condensed Light" w:cs="Times New Roman"/>
          <w:lang w:val="en-US"/>
        </w:rPr>
        <w:t xml:space="preserve"> [Accessed 9 May 2016].</w:t>
      </w:r>
    </w:p>
    <w:p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Pr>
          <w:rFonts w:ascii="Roboto Condensed Light" w:hAnsi="Roboto Condensed Light" w:cs="Times New Roman"/>
          <w:lang w:val="en-US"/>
        </w:rPr>
        <w:t>Wooldredge</w:t>
      </w:r>
      <w:proofErr w:type="spellEnd"/>
      <w:r>
        <w:rPr>
          <w:rFonts w:ascii="Roboto Condensed Light" w:hAnsi="Roboto Condensed Light" w:cs="Times New Roman"/>
          <w:lang w:val="en-US"/>
        </w:rPr>
        <w:t xml:space="preserve">, J. and </w:t>
      </w:r>
      <w:proofErr w:type="spellStart"/>
      <w:r>
        <w:rPr>
          <w:rFonts w:ascii="Roboto Condensed Light" w:hAnsi="Roboto Condensed Light" w:cs="Times New Roman"/>
          <w:lang w:val="en-US"/>
        </w:rPr>
        <w:t>Thistlethwaite</w:t>
      </w:r>
      <w:proofErr w:type="spellEnd"/>
      <w:r>
        <w:rPr>
          <w:rFonts w:ascii="Roboto Condensed Light" w:hAnsi="Roboto Condensed Light" w:cs="Times New Roman"/>
          <w:lang w:val="en-US"/>
        </w:rPr>
        <w:t xml:space="preserve">, A. (2005). Court dispositions and </w:t>
      </w:r>
      <w:proofErr w:type="spellStart"/>
      <w:r>
        <w:rPr>
          <w:rFonts w:ascii="Roboto Condensed Light" w:hAnsi="Roboto Condensed Light" w:cs="Times New Roman"/>
          <w:lang w:val="en-US"/>
        </w:rPr>
        <w:t>rearrest</w:t>
      </w:r>
      <w:proofErr w:type="spellEnd"/>
      <w:r>
        <w:rPr>
          <w:rFonts w:ascii="Roboto Condensed Light" w:hAnsi="Roboto Condensed Light" w:cs="Times New Roman"/>
          <w:lang w:val="en-US"/>
        </w:rPr>
        <w:t xml:space="preserve"> for intimate assault. </w:t>
      </w:r>
      <w:r>
        <w:rPr>
          <w:rFonts w:ascii="Roboto Condensed Light" w:hAnsi="Roboto Condensed Light" w:cs="Times New Roman"/>
          <w:i/>
          <w:lang w:val="en-US"/>
        </w:rPr>
        <w:t>Crime and Delinquency</w:t>
      </w:r>
      <w:r>
        <w:rPr>
          <w:rFonts w:ascii="Roboto Condensed Light" w:hAnsi="Roboto Condensed Light" w:cs="Times New Roman"/>
          <w:lang w:val="en-US"/>
        </w:rPr>
        <w:t>, 51(1), pp. 75-102.</w:t>
      </w:r>
    </w:p>
    <w:p w:rsidRPr="00C53E18" w:rsidR="001B57E5" w:rsidP="001B57E5" w:rsidRDefault="001B57E5">
      <w:pPr>
        <w:widowControl w:val="false"/>
        <w:autoSpaceDE w:val="false"/>
        <w:autoSpaceDN w:val="false"/>
        <w:adjustRightInd w:val="false"/>
        <w:spacing w:after="200" w:line="360" w:lineRule="auto"/>
        <w:ind w:left="500" w:hanging="500"/>
        <w:rPr>
          <w:rFonts w:ascii="Roboto Condensed Light" w:hAnsi="Roboto Condensed Light" w:cs="Times New Roman"/>
          <w:lang w:val="en-US"/>
        </w:rPr>
      </w:pPr>
      <w:proofErr w:type="spellStart"/>
      <w:r>
        <w:rPr>
          <w:rFonts w:ascii="Roboto Condensed Light" w:hAnsi="Roboto Condensed Light" w:cs="Times New Roman"/>
          <w:lang w:val="en-US"/>
        </w:rPr>
        <w:t>Wordes</w:t>
      </w:r>
      <w:proofErr w:type="spellEnd"/>
      <w:r>
        <w:rPr>
          <w:rFonts w:ascii="Roboto Condensed Light" w:hAnsi="Roboto Condensed Light" w:cs="Times New Roman"/>
          <w:lang w:val="en-US"/>
        </w:rPr>
        <w:t xml:space="preserve">, M. (2000). </w:t>
      </w:r>
      <w:r w:rsidRPr="000A701B">
        <w:rPr>
          <w:rFonts w:ascii="Roboto Condensed Light" w:hAnsi="Roboto Condensed Light" w:cs="Times New Roman"/>
          <w:lang w:val="en-US"/>
        </w:rPr>
        <w:t>Creating a Structured Decision-Making Model for Police Intervention in Intimate Partner Violence</w:t>
      </w:r>
      <w:r>
        <w:rPr>
          <w:rFonts w:ascii="Roboto Condensed Light" w:hAnsi="Roboto Condensed Light" w:cs="Times New Roman"/>
          <w:lang w:val="en-US"/>
        </w:rPr>
        <w:t>. [</w:t>
      </w:r>
      <w:proofErr w:type="gramStart"/>
      <w:r>
        <w:rPr>
          <w:rFonts w:ascii="Roboto Condensed Light" w:hAnsi="Roboto Condensed Light" w:cs="Times New Roman"/>
          <w:lang w:val="en-US"/>
        </w:rPr>
        <w:t>online</w:t>
      </w:r>
      <w:proofErr w:type="gramEnd"/>
      <w:r>
        <w:rPr>
          <w:rFonts w:ascii="Roboto Condensed Light" w:hAnsi="Roboto Condensed Light" w:cs="Times New Roman"/>
          <w:lang w:val="en-US"/>
        </w:rPr>
        <w:t>] Oakland: National Council on Crime and Delinquency. Available at: http://www.ncjrs.gov/App/Publications/abstract.aspx?ID=182781 [Accessed 9 May 2016].</w:t>
      </w:r>
    </w:p>
    <w:p w:rsidR="008816DF" w:rsidRDefault="008816DF"/>
    <w:sectPr w:rsidR="008816DF" w:rsidSect="00F33021">
      <w:headerReference r:id="rId14" w:type="first"/>
      <w:footerReference r:id="rId15" w:type="first"/>
      <w:pgSz w:w="11906" w:h="16838"/>
      <w:pgMar w:top="1440" w:right="849" w:bottom="1440" w:left="1440" w:header="0" w:footer="0" w:gutter="0"/>
      <w:cols w:space="708"/>
      <w:titlePg/>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endnote w:type="separator" w:id="-1">
    <w:p w:rsidR="001B57E5" w:rsidP="001B57E5" w:rsidRDefault="001B57E5">
      <w:pPr>
        <w:spacing w:after="0" w:line="240" w:lineRule="auto"/>
      </w:pPr>
      <w:r>
        <w:separator/>
      </w:r>
    </w:p>
  </w:endnote>
  <w:endnote w:type="continuationSeparator" w:id="0">
    <w:p w:rsidR="001B57E5" w:rsidP="001B57E5" w:rsidRDefault="001B57E5">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Roboto Condensed Light">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Light">
    <w:altName w:val="TradeGothic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ypestar-Normal">
    <w:panose1 w:val="00000000000000000000"/>
    <w:charset w:val="00"/>
    <w:family w:val="auto"/>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Roboto Condensed">
    <w:panose1 w:val="02000000000000000000"/>
    <w:charset w:val="00"/>
    <w:family w:val="auto"/>
    <w:pitch w:val="variable"/>
    <w:sig w:usb0="E00002FF" w:usb1="5000205B" w:usb2="00000020" w:usb3="00000000" w:csb0="0000019F" w:csb1="00000000"/>
  </w:font>
  <w:font w:name="TradeGothic">
    <w:panose1 w:val="020B0500000000000000"/>
    <w:charset w:val="00"/>
    <w:family w:val="swiss"/>
    <w:pitch w:val="variable"/>
    <w:sig w:usb0="00000003" w:usb1="00000000" w:usb2="00000000" w:usb3="00000000" w:csb0="00000001" w:csb1="00000000"/>
  </w:font>
  <w:font w:name="TradeGothic-Bold">
    <w:altName w:val="TradeGothic"/>
    <w:panose1 w:val="00000000000000000000"/>
    <w:charset w:val="4D"/>
    <w:family w:val="auto"/>
    <w:notTrueType/>
    <w:pitch w:val="default"/>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1B57E5" w:rsidRDefault="001B57E5">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sdt>
    <w:sdtPr>
      <w:id w:val="1738215312"/>
      <w:docPartObj>
        <w:docPartGallery w:val="Page Numbers (Bottom of Page)"/>
        <w:docPartUnique/>
      </w:docPartObj>
    </w:sdtPr>
    <w:sdtEndPr>
      <w:rPr>
        <w:noProof/>
      </w:rPr>
    </w:sdtEndPr>
    <w:sdtContent>
      <w:p w:rsidR="001B57E5" w:rsidRDefault="001B57E5">
        <w:pPr>
          <w:pStyle w:val="Footer"/>
          <w:jc w:val="right"/>
        </w:pPr>
        <w:r>
          <w:fldChar w:fldCharType="begin"/>
        </w:r>
        <w:r>
          <w:instrText xml:space="preserve"> PAGE   \* MERGEFORMAT </w:instrText>
        </w:r>
        <w:r>
          <w:fldChar w:fldCharType="separate"/>
        </w:r>
        <w:r w:rsidR="00F33021">
          <w:rPr>
            <w:noProof/>
          </w:rPr>
          <w:t>2</w:t>
        </w:r>
        <w:r>
          <w:rPr>
            <w:noProof/>
          </w:rPr>
          <w:fldChar w:fldCharType="end"/>
        </w:r>
      </w:p>
    </w:sdtContent>
  </w:sdt>
  <w:p w:rsidR="001B57E5" w:rsidRDefault="001B57E5">
    <w:pPr>
      <w:pStyle w:val="Foote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sdt>
    <w:sdtPr>
      <w:id w:val="1464157093"/>
      <w:docPartObj>
        <w:docPartGallery w:val="Page Numbers (Bottom of Page)"/>
        <w:docPartUnique/>
      </w:docPartObj>
    </w:sdtPr>
    <w:sdtEndPr>
      <w:rPr>
        <w:noProof/>
      </w:rPr>
    </w:sdtEndPr>
    <w:sdtContent>
      <w:p w:rsidR="001B57E5" w:rsidRDefault="001B57E5">
        <w:pPr>
          <w:pStyle w:val="Footer"/>
          <w:jc w:val="right"/>
        </w:pPr>
        <w:r>
          <w:fldChar w:fldCharType="begin"/>
        </w:r>
        <w:r>
          <w:instrText xml:space="preserve"> PAGE   \* MERGEFORMAT </w:instrText>
        </w:r>
        <w:r>
          <w:fldChar w:fldCharType="separate"/>
        </w:r>
        <w:r w:rsidR="00F33021">
          <w:rPr>
            <w:noProof/>
          </w:rPr>
          <w:t>1</w:t>
        </w:r>
        <w:r>
          <w:rPr>
            <w:noProof/>
          </w:rPr>
          <w:fldChar w:fldCharType="end"/>
        </w:r>
      </w:p>
    </w:sdtContent>
  </w:sdt>
  <w:p w:rsidR="00E27912" w:rsidRDefault="00F33021">
    <w:pPr>
      <w:pStyle w:val="Footer"/>
    </w:pPr>
  </w:p>
</w:ftr>
</file>

<file path=word/footer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1B57E5" w:rsidP="00E27912" w:rsidRDefault="00F33021">
    <w:pPr>
      <w:tabs>
        <w:tab w:val="center" w:pos="4513"/>
        <w:tab w:val="right" w:pos="9617"/>
      </w:tabs>
      <w:spacing w:after="0" w:line="240" w:lineRule="auto"/>
      <w:ind w:left="-993"/>
      <w:rPr>
        <w:sz w:val="18"/>
        <w:szCs w:val="18"/>
      </w:rPr>
    </w:pPr>
    <w:r>
      <w:rPr>
        <w:sz w:val="18"/>
        <w:szCs w:val="18"/>
      </w:rPr>
      <w:pict>
        <v:rect xmlns:v="urn:schemas-microsoft-com:vml" xmlns:xvml="urn:schemas-microsoft-com:office:excel" xmlns:o="urn:schemas-microsoft-com:office:office" xmlns:w10="urn:schemas-microsoft-com:office:word" xmlns:pvml="urn:schemas-microsoft-com:office:powerpoint" style="width:595.35pt;height:3pt" id="_x0000_i1025" o:hr="t" o:hrstd="t" o:hrnoshade="t" o:hrpct="0.0" o:hralign="center" stroked="f" fillcolor="#881e76"/>
      </w:pict>
    </w:r>
  </w:p>
  <w:p w:rsidRPr="003F5CF3" w:rsidR="001B57E5" w:rsidP="00E27912" w:rsidRDefault="001B57E5">
    <w:pPr>
      <w:tabs>
        <w:tab w:val="center" w:pos="4513"/>
        <w:tab w:val="right" w:pos="9617"/>
      </w:tabs>
      <w:spacing w:after="0" w:line="240" w:lineRule="auto"/>
      <w:ind w:left="-993"/>
      <w:rPr>
        <w:sz w:val="18"/>
        <w:szCs w:val="18"/>
      </w:rPr>
    </w:pPr>
    <w:r w:rsidRPr="003F5CF3">
      <w:rPr>
        <w:sz w:val="18"/>
        <w:szCs w:val="18"/>
      </w:rPr>
      <w:t xml:space="preserve">Authorised and published by the Crime Statistics Agency, 121 Exhibition Street, Melbourne. ISSN: </w:t>
    </w:r>
    <w:r>
      <w:rPr>
        <w:sz w:val="18"/>
        <w:szCs w:val="18"/>
      </w:rPr>
      <w:t>2205</w:t>
    </w:r>
    <w:r w:rsidRPr="003F5CF3">
      <w:rPr>
        <w:sz w:val="18"/>
        <w:szCs w:val="18"/>
      </w:rPr>
      <w:t>-</w:t>
    </w:r>
    <w:r>
      <w:rPr>
        <w:sz w:val="18"/>
        <w:szCs w:val="18"/>
      </w:rPr>
      <w:t>6378</w:t>
    </w:r>
  </w:p>
  <w:p w:rsidRPr="003F5CF3" w:rsidR="001B57E5" w:rsidP="00E27912" w:rsidRDefault="001B57E5">
    <w:pPr>
      <w:tabs>
        <w:tab w:val="center" w:pos="4513"/>
        <w:tab w:val="right" w:pos="9617"/>
      </w:tabs>
      <w:spacing w:after="0" w:line="240" w:lineRule="auto"/>
      <w:ind w:left="-993"/>
      <w:rPr>
        <w:sz w:val="18"/>
        <w:szCs w:val="18"/>
      </w:rPr>
    </w:pPr>
    <w:r w:rsidRPr="003F5CF3">
      <w:rPr>
        <w:sz w:val="18"/>
        <w:szCs w:val="18"/>
      </w:rPr>
      <w:t xml:space="preserve">Unless otherwise indicated, this work is made available under the terms of the Creative Commons Attribution 3.0 license. To view a copy of this license, visit </w:t>
    </w:r>
    <w:hyperlink w:history="true" r:id="rId1">
      <w:r w:rsidRPr="003F5CF3">
        <w:rPr>
          <w:color w:val="0563C1" w:themeColor="hyperlink"/>
          <w:sz w:val="18"/>
          <w:szCs w:val="18"/>
          <w:u w:val="single"/>
        </w:rPr>
        <w:t>creativecommons.org.au/licenses/by/3.0/au</w:t>
      </w:r>
    </w:hyperlink>
    <w:r w:rsidRPr="003F5CF3">
      <w:rPr>
        <w:sz w:val="18"/>
        <w:szCs w:val="18"/>
      </w:rPr>
      <w:t xml:space="preserve">  If you would like to receive this publication in an accessible format such as large print or audio, telephone 03 8684 1808 or email </w:t>
    </w:r>
    <w:hyperlink w:history="true" r:id="rId2">
      <w:r w:rsidRPr="003F5CF3">
        <w:rPr>
          <w:color w:val="0563C1" w:themeColor="hyperlink"/>
          <w:sz w:val="18"/>
          <w:szCs w:val="18"/>
          <w:u w:val="single"/>
        </w:rPr>
        <w:t>info@crimestatistics.vic.gov.au</w:t>
      </w:r>
    </w:hyperlink>
    <w:r w:rsidRPr="003F5CF3">
      <w:rPr>
        <w:sz w:val="18"/>
        <w:szCs w:val="18"/>
      </w:rPr>
      <w:t xml:space="preserve"> This document is also available in Word format at </w:t>
    </w:r>
    <w:hyperlink w:history="true" r:id="rId3">
      <w:r w:rsidRPr="003F5CF3">
        <w:rPr>
          <w:color w:val="0563C1" w:themeColor="hyperlink"/>
          <w:sz w:val="18"/>
          <w:szCs w:val="18"/>
          <w:u w:val="single"/>
        </w:rPr>
        <w:t>www.crimestatistics.vic.gov.au</w:t>
      </w:r>
    </w:hyperlink>
  </w:p>
  <w:p w:rsidRPr="003F5CF3" w:rsidR="001B57E5" w:rsidP="00A84BDC" w:rsidRDefault="001B57E5">
    <w:pPr>
      <w:tabs>
        <w:tab w:val="center" w:pos="4513"/>
        <w:tab w:val="right" w:pos="9617"/>
      </w:tabs>
      <w:spacing w:after="0" w:line="240" w:lineRule="auto"/>
      <w:ind w:left="-993"/>
      <w:rPr>
        <w:sz w:val="18"/>
        <w:szCs w:val="18"/>
      </w:rPr>
    </w:pPr>
  </w:p>
  <w:p w:rsidR="001B57E5" w:rsidRDefault="001B57E5">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footnote w:type="separator" w:id="-1">
    <w:p w:rsidR="001B57E5" w:rsidP="001B57E5" w:rsidRDefault="001B57E5">
      <w:pPr>
        <w:spacing w:after="0" w:line="240" w:lineRule="auto"/>
      </w:pPr>
      <w:r>
        <w:separator/>
      </w:r>
    </w:p>
  </w:footnote>
  <w:footnote w:type="continuationSeparator" w:id="0">
    <w:p w:rsidR="001B57E5" w:rsidP="001B57E5" w:rsidRDefault="001B57E5">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1B57E5" w:rsidRDefault="001B57E5">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1B57E5" w:rsidRDefault="001B57E5">
    <w:pPr>
      <w:pStyle w:val="Header"/>
    </w:pP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ps="http://schemas.microsoft.com/office/word/2010/wordprocessingShape" xmlns:w14="http://schemas.microsoft.com/office/word/2010/wordml" xmlns:w15="http://schemas.microsoft.com/office/word/2012/wordml" mc:Ignorable="w14 w15 wp14">
  <w:p w:rsidR="00E27912" w:rsidP="009A4313" w:rsidRDefault="00F33021">
    <w:pPr>
      <w:pStyle w:val="Header"/>
    </w:pPr>
  </w:p>
  <w:p w:rsidR="00E27912" w:rsidP="009A4313" w:rsidRDefault="008902DC">
    <w:pPr>
      <w:pStyle w:val="Header"/>
      <w:ind w:left="-1418"/>
    </w:pPr>
    <w:r>
      <w:rPr>
        <w:noProof/>
        <w:lang w:eastAsia="en-AU"/>
      </w:rPr>
      <mc:AlternateContent>
        <mc:Choice Requires="wps">
          <w:drawing>
            <wp:anchor distT="0" distB="0" distL="114300" distR="114300" simplePos="false" relativeHeight="251659264" behindDoc="true" locked="false" layoutInCell="false" allowOverlap="true" wp14:anchorId="1C64FA44" wp14:editId="68E1BCFF">
              <wp:simplePos x="0" y="0"/>
              <wp:positionH relativeFrom="margin">
                <wp:align>center</wp:align>
              </wp:positionH>
              <wp:positionV relativeFrom="margin">
                <wp:align>center</wp:align>
              </wp:positionV>
              <wp:extent cx="6622415" cy="1986280"/>
              <wp:effectExtent l="0" t="1657350" r="0" b="158559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4" name="WordArt 3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a:spLocks noTextEdit="true" noChangeArrowheads="true" noChangeShapeType="true"/>
                    </wps:cNvSpPr>
                    <wps:spPr bwMode="auto">
                      <a:xfrm rot="18900000">
                        <a:off x="0" y="0"/>
                        <a:ext cx="6622415" cy="1986280"/>
                      </a:xfrm>
                      <a:prstGeom prst="rect">
                        <a:avLst/>
                      </a:prstGeom>
                      <a:extLst>
                        <a:ext uri="{91240B29-F687-4F45-9708-019B960494DF}">
                          <a14:hiddenLine w="9525">
                            <a:solidFill>
                              <a:srgbClr val="000000"/>
                            </a:solidFill>
                            <a:round/>
                            <a:headEnd/>
                            <a:tailEnd/>
                          </a14:hiddenLine>
                        </a:ext>
                      </a:extLst>
                    </wps:spPr>
                    <wps:txbx>
                      <w:txbxContent>
                        <w:p w:rsidR="00E27912" w:rsidP="005C41D6" w:rsidRDefault="008902DC">
                          <w:pPr>
                            <w:pStyle w:val="NormalWeb"/>
                            <w:spacing w:before="0" w:beforeAutospacing="false" w:after="0" w:afterAutospacing="false"/>
                            <w:jc w:val="center"/>
                          </w:pPr>
                          <w:r>
                            <w:rPr>
                              <w:rFonts w:ascii="Calibri" w:hAnsi="Calibri"/>
                              <w:color w:val="C0C0C0"/>
                              <w:sz w:val="2"/>
                              <w:szCs w:val="2"/>
                              <w14:textFill>
                                <w14:solidFill>
                                  <w14:srgbClr w14:val="C0C0C0">
                                    <w14:alpha w14:val="50000"/>
                                  </w14:srgbClr>
                                </w14:solidFill>
                              </w14:textFill>
                            </w:rPr>
                            <w:t>Briefing Copy</w:t>
                          </w:r>
                        </w:p>
                      </w:txbxContent>
                    </wps:txbx>
                    <wps:bodyPr wrap="square" numCol="1" fromWordArt="true">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" type="#_x0000_t202" style="position:absolute;left:0;text-align:left;margin-left:0;margin-top:0;width:521.45pt;height:156.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id="WordArt 30" o:spid="_x0000_s1026" o:allowincell="f" stroked="f" filled="f">
              <v:stroke joinstyle="round"/>
              <o:lock shapetype="t" v:ext="edit"/>
              <v:textbox style="mso-fit-shape-to-text:t">
                <w:txbxContent>
                  <w:p w:rsidR="00E27912" w:rsidP="005C41D6" w:rsidRDefault="008902DC">
                    <w:pPr>
                      <w:pStyle w:val="NormalWeb"/>
                      <w:spacing w:before="0" w:beforeAutospacing="false" w:after="0" w:afterAutospacing="false"/>
                      <w:jc w:val="center"/>
                    </w:pPr>
                    <w:r>
                      <w:rPr>
                        <w:rFonts w:ascii="Calibri" w:hAnsi="Calibri"/>
                        <w:color w:val="C0C0C0"/>
                        <w:sz w:val="2"/>
                        <w:szCs w:val="2"/>
                        <w14:textFill xmlns:a14="http://schemas.microsoft.com/office/drawing/2010/main">
                          <w14:solidFill>
                            <w14:srgbClr w14:val="C0C0C0">
                              <w14:alpha w14:val="50000"/>
                            </w14:srgbClr>
                          </w14:solidFill>
                        </w14:textFill>
                      </w:rPr>
                      <w:t>Briefing Copy</w:t>
                    </w:r>
                  </w:p>
                </w:txbxContent>
              </v:textbox>
              <w10:wrap anchorx="margin" anchory="margin"/>
            </v:shape>
          </w:pict>
        </mc:Fallback>
      </mc:AlternateContent>
    </w:r>
    <w:r w:rsidR="001B57E5">
      <w:rPr>
        <w:noProof/>
        <w:lang w:eastAsia="en-AU"/>
      </w:rPr>
      <w:drawing>
        <wp:inline distT="0" distB="0" distL="0" distR="0">
          <wp:extent cx="7651115" cy="1237615"/>
          <wp:effectExtent l="0" t="0" r="0" b="63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6" name="Picture 6"/>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extLst>
                      <a:ext uri="{28A0092B-C50C-407E-A947-70E740481C1C}">
                        <a14:useLocalDpi val="false"/>
                      </a:ext>
                    </a:extLst>
                  </a:blip>
                  <a:srcRect/>
                  <a:stretch>
                    <a:fillRect/>
                  </a:stretch>
                </pic:blipFill>
                <pic:spPr bwMode="auto">
                  <a:xfrm>
                    <a:off x="0" y="0"/>
                    <a:ext cx="7651115" cy="1237615"/>
                  </a:xfrm>
                  <a:prstGeom prst="rect">
                    <a:avLst/>
                  </a:prstGeom>
                  <a:noFill/>
                </pic:spPr>
              </pic:pic>
            </a:graphicData>
          </a:graphic>
        </wp:inline>
      </w:drawing>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ps="http://schemas.microsoft.com/office/word/2010/wordprocessingShape" xmlns:w14="http://schemas.microsoft.com/office/word/2010/wordml" xmlns:w15="http://schemas.microsoft.com/office/word/2012/wordml" mc:Ignorable="w14 w15 wp14">
  <w:p w:rsidR="001B57E5" w:rsidP="009A4313" w:rsidRDefault="001B57E5">
    <w:pPr>
      <w:pStyle w:val="Header"/>
    </w:pPr>
  </w:p>
  <w:p w:rsidR="001B57E5" w:rsidP="009A4313" w:rsidRDefault="001B57E5">
    <w:pPr>
      <w:pStyle w:val="Header"/>
      <w:ind w:left="-1418"/>
    </w:pPr>
    <w:r>
      <w:rPr>
        <w:noProof/>
        <w:lang w:eastAsia="en-AU"/>
      </w:rPr>
      <mc:AlternateContent>
        <mc:Choice Requires="wps">
          <w:drawing>
            <wp:anchor distT="0" distB="0" distL="114300" distR="114300" simplePos="false" relativeHeight="251661312" behindDoc="true" locked="false" layoutInCell="false" allowOverlap="true" wp14:anchorId="0741E98A" wp14:editId="06A9032A">
              <wp:simplePos x="0" y="0"/>
              <wp:positionH relativeFrom="margin">
                <wp:align>center</wp:align>
              </wp:positionH>
              <wp:positionV relativeFrom="margin">
                <wp:align>center</wp:align>
              </wp:positionV>
              <wp:extent cx="6622415" cy="1986280"/>
              <wp:effectExtent l="0" t="1657350" r="0" b="158559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7" name="WordArt 3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a:spLocks noTextEdit="true" noChangeArrowheads="true" noChangeShapeType="true"/>
                    </wps:cNvSpPr>
                    <wps:spPr bwMode="auto">
                      <a:xfrm rot="18900000">
                        <a:off x="0" y="0"/>
                        <a:ext cx="6622415" cy="1986280"/>
                      </a:xfrm>
                      <a:prstGeom prst="rect">
                        <a:avLst/>
                      </a:prstGeom>
                      <a:extLst>
                        <a:ext uri="{91240B29-F687-4F45-9708-019B960494DF}">
                          <a14:hiddenLine w="9525">
                            <a:solidFill>
                              <a:srgbClr val="000000"/>
                            </a:solidFill>
                            <a:round/>
                            <a:headEnd/>
                            <a:tailEnd/>
                          </a14:hiddenLine>
                        </a:ext>
                      </a:extLst>
                    </wps:spPr>
                    <wps:txbx>
                      <w:txbxContent>
                        <w:p w:rsidR="001B57E5" w:rsidP="005C41D6" w:rsidRDefault="001B57E5">
                          <w:pPr>
                            <w:pStyle w:val="NormalWeb"/>
                            <w:spacing w:before="0" w:beforeAutospacing="false" w:after="0" w:afterAutospacing="false"/>
                            <w:jc w:val="center"/>
                          </w:pPr>
                          <w:r>
                            <w:rPr>
                              <w:rFonts w:ascii="Calibri" w:hAnsi="Calibri"/>
                              <w:color w:val="C0C0C0"/>
                              <w:sz w:val="2"/>
                              <w:szCs w:val="2"/>
                              <w14:textFill>
                                <w14:solidFill>
                                  <w14:srgbClr w14:val="C0C0C0">
                                    <w14:alpha w14:val="50000"/>
                                  </w14:srgbClr>
                                </w14:solidFill>
                              </w14:textFill>
                            </w:rPr>
                            <w:t>Briefing Copy</w:t>
                          </w:r>
                        </w:p>
                      </w:txbxContent>
                    </wps:txbx>
                    <wps:bodyPr wrap="square" numCol="1" fromWordArt="true">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" type="#_x0000_t202" style="position:absolute;left:0;text-align:left;margin-left:0;margin-top:0;width:521.45pt;height:156.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id="_x0000_s1027" o:allowincell="f" stroked="f" filled="f">
              <v:stroke joinstyle="round"/>
              <o:lock shapetype="t" v:ext="edit"/>
              <v:textbox style="mso-fit-shape-to-text:t">
                <w:txbxContent>
                  <w:p w:rsidR="001B57E5" w:rsidP="005C41D6" w:rsidRDefault="001B57E5">
                    <w:pPr>
                      <w:pStyle w:val="NormalWeb"/>
                      <w:spacing w:before="0" w:beforeAutospacing="false" w:after="0" w:afterAutospacing="false"/>
                      <w:jc w:val="center"/>
                    </w:pPr>
                    <w:r>
                      <w:rPr>
                        <w:rFonts w:ascii="Calibri" w:hAnsi="Calibri"/>
                        <w:color w:val="C0C0C0"/>
                        <w:sz w:val="2"/>
                        <w:szCs w:val="2"/>
                        <w14:textFill xmlns:a14="http://schemas.microsoft.com/office/drawing/2010/main">
                          <w14:solidFill>
                            <w14:srgbClr w14:val="C0C0C0">
                              <w14:alpha w14:val="50000"/>
                            </w14:srgbClr>
                          </w14:solidFill>
                        </w14:textFill>
                      </w:rPr>
                      <w:t>Briefing Copy</w:t>
                    </w:r>
                  </w:p>
                </w:txbxContent>
              </v:textbox>
              <w10:wrap anchorx="margin" anchory="margin"/>
            </v:shape>
          </w:pict>
        </mc:Fallback>
      </mc:AlternateContent>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abstractNum w:abstractNumId="0">
    <w:nsid w:val="02082C7C"/>
    <w:multiLevelType w:val="hybridMultilevel"/>
    <w:tmpl w:val="D43EF9B2"/>
    <w:lvl w:ilvl="0" w:tplc="2914300E">
      <w:start w:val="2"/>
      <w:numFmt w:val="bullet"/>
      <w:lvlText w:val="-"/>
      <w:lvlJc w:val="left"/>
      <w:pPr>
        <w:ind w:left="720" w:hanging="360"/>
      </w:pPr>
      <w:rPr>
        <w:rFonts w:hint="default" w:ascii="Roboto Condensed Light" w:hAnsi="Roboto Condensed Light" w:eastAsia="MS Mincho"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06D26416"/>
    <w:multiLevelType w:val="hybridMultilevel"/>
    <w:tmpl w:val="F690A4A2"/>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
    <w:nsid w:val="088B6BB2"/>
    <w:multiLevelType w:val="hybridMultilevel"/>
    <w:tmpl w:val="A4722822"/>
    <w:lvl w:ilvl="0" w:tplc="8BA25D5E">
      <w:start w:val="100"/>
      <w:numFmt w:val="bullet"/>
      <w:lvlText w:val=""/>
      <w:lvlJc w:val="left"/>
      <w:pPr>
        <w:ind w:left="720" w:hanging="360"/>
      </w:pPr>
      <w:rPr>
        <w:rFonts w:hint="default" w:ascii="Symbol" w:hAnsi="Symbol" w:cs="TradeGothic-Light" w:eastAsiaTheme="minorEastAsia"/>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
    <w:nsid w:val="0BC2472D"/>
    <w:multiLevelType w:val="hybridMultilevel"/>
    <w:tmpl w:val="DDBCEDF6"/>
    <w:lvl w:ilvl="0" w:tplc="7CA68670">
      <w:numFmt w:val="bullet"/>
      <w:lvlText w:val=""/>
      <w:lvlJc w:val="left"/>
      <w:pPr>
        <w:ind w:left="1080" w:hanging="720"/>
      </w:pPr>
      <w:rPr>
        <w:rFonts w:hint="default" w:ascii="Symbol" w:hAnsi="Symbol" w:eastAsia="MS Mincho" w:cs="Times New Roman"/>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4">
    <w:nsid w:val="1B9B48D2"/>
    <w:multiLevelType w:val="hybridMultilevel"/>
    <w:tmpl w:val="DE9A538A"/>
    <w:lvl w:ilvl="0" w:tplc="A20C143E">
      <w:numFmt w:val="bullet"/>
      <w:lvlText w:val=""/>
      <w:lvlJc w:val="left"/>
      <w:pPr>
        <w:ind w:left="720" w:hanging="360"/>
      </w:pPr>
      <w:rPr>
        <w:rFonts w:hint="default" w:ascii="Symbol" w:hAnsi="Symbol" w:eastAsia="MS Mincho"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5">
    <w:nsid w:val="3AFC2534"/>
    <w:multiLevelType w:val="hybridMultilevel"/>
    <w:tmpl w:val="E85E0A24"/>
    <w:lvl w:ilvl="0" w:tplc="7956403E">
      <w:start w:val="2"/>
      <w:numFmt w:val="bullet"/>
      <w:lvlText w:val=""/>
      <w:lvlJc w:val="left"/>
      <w:pPr>
        <w:ind w:left="720" w:hanging="360"/>
      </w:pPr>
      <w:rPr>
        <w:rFonts w:hint="default" w:ascii="Symbol" w:hAnsi="Symbol" w:eastAsia="MS Mincho"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3D7F7998"/>
    <w:multiLevelType w:val="hybridMultilevel"/>
    <w:tmpl w:val="14D8EF38"/>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7">
    <w:nsid w:val="419240E5"/>
    <w:multiLevelType w:val="hybridMultilevel"/>
    <w:tmpl w:val="8370F602"/>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420903FA"/>
    <w:multiLevelType w:val="hybridMultilevel"/>
    <w:tmpl w:val="4302F302"/>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9">
    <w:nsid w:val="45440EB6"/>
    <w:multiLevelType w:val="hybridMultilevel"/>
    <w:tmpl w:val="D21E462E"/>
    <w:lvl w:ilvl="0" w:tplc="D1F4F894">
      <w:start w:val="1"/>
      <w:numFmt w:val="bullet"/>
      <w:lvlText w:val="-"/>
      <w:lvlJc w:val="left"/>
      <w:pPr>
        <w:ind w:left="720" w:hanging="360"/>
      </w:pPr>
      <w:rPr>
        <w:rFonts w:hint="default" w:ascii="Roboto Condensed Light" w:hAnsi="Roboto Condensed Light" w:eastAsia="MS Mincho" w:cs="Times New Roman"/>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50B14D8B"/>
    <w:multiLevelType w:val="hybridMultilevel"/>
    <w:tmpl w:val="18083E74"/>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1">
    <w:nsid w:val="51224DB9"/>
    <w:multiLevelType w:val="hybridMultilevel"/>
    <w:tmpl w:val="DDFA53B6"/>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2">
    <w:nsid w:val="536A4CCA"/>
    <w:multiLevelType w:val="hybridMultilevel"/>
    <w:tmpl w:val="E9A04F34"/>
    <w:lvl w:ilvl="0" w:tplc="0C090001">
      <w:start w:val="3"/>
      <w:numFmt w:val="bullet"/>
      <w:lvlText w:val=""/>
      <w:lvlJc w:val="left"/>
      <w:pPr>
        <w:ind w:left="720" w:hanging="360"/>
      </w:pPr>
      <w:rPr>
        <w:rFonts w:hint="default" w:ascii="Symbol" w:hAnsi="Symbol" w:eastAsia="Times New Roman"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3">
    <w:nsid w:val="55F016F9"/>
    <w:multiLevelType w:val="hybridMultilevel"/>
    <w:tmpl w:val="F77041F8"/>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4">
    <w:nsid w:val="570071ED"/>
    <w:multiLevelType w:val="hybridMultilevel"/>
    <w:tmpl w:val="2B26C816"/>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5">
    <w:nsid w:val="57837D4A"/>
    <w:multiLevelType w:val="hybridMultilevel"/>
    <w:tmpl w:val="4FE0CF80"/>
    <w:lvl w:ilvl="0" w:tplc="8BA25D5E">
      <w:start w:val="100"/>
      <w:numFmt w:val="bullet"/>
      <w:lvlText w:val=""/>
      <w:lvlJc w:val="left"/>
      <w:pPr>
        <w:ind w:left="720" w:hanging="360"/>
      </w:pPr>
      <w:rPr>
        <w:rFonts w:hint="default" w:ascii="Symbol" w:hAnsi="Symbol" w:cs="TradeGothic-Light" w:eastAsiaTheme="minorEastAsia"/>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6">
    <w:nsid w:val="62FD3FA0"/>
    <w:multiLevelType w:val="hybridMultilevel"/>
    <w:tmpl w:val="D08884A2"/>
    <w:lvl w:ilvl="0" w:tplc="76E0F16E">
      <w:numFmt w:val="bullet"/>
      <w:lvlText w:val="-"/>
      <w:lvlJc w:val="left"/>
      <w:pPr>
        <w:ind w:left="720" w:hanging="360"/>
      </w:pPr>
      <w:rPr>
        <w:rFonts w:hint="default" w:ascii="Roboto Condensed Light" w:hAnsi="Roboto Condensed Light" w:eastAsia="MS Mincho"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7">
    <w:nsid w:val="64B37520"/>
    <w:multiLevelType w:val="hybridMultilevel"/>
    <w:tmpl w:val="B33EFC4C"/>
    <w:lvl w:ilvl="0" w:tplc="F33E1568">
      <w:start w:val="44"/>
      <w:numFmt w:val="bullet"/>
      <w:lvlText w:val=""/>
      <w:lvlJc w:val="left"/>
      <w:pPr>
        <w:ind w:left="720" w:hanging="360"/>
      </w:pPr>
      <w:rPr>
        <w:rFonts w:hint="default" w:ascii="Symbol" w:hAnsi="Symbol" w:eastAsia="MS Mincho"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8">
    <w:nsid w:val="6CFB1ED8"/>
    <w:multiLevelType w:val="hybridMultilevel"/>
    <w:tmpl w:val="F662D09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9">
    <w:nsid w:val="76FF6259"/>
    <w:multiLevelType w:val="hybridMultilevel"/>
    <w:tmpl w:val="860C145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0">
    <w:nsid w:val="773F7F32"/>
    <w:multiLevelType w:val="hybridMultilevel"/>
    <w:tmpl w:val="2284ADD6"/>
    <w:lvl w:ilvl="0" w:tplc="98489F5C">
      <w:numFmt w:val="bullet"/>
      <w:lvlText w:val=""/>
      <w:lvlJc w:val="left"/>
      <w:pPr>
        <w:ind w:left="720" w:hanging="360"/>
      </w:pPr>
      <w:rPr>
        <w:rFonts w:hint="default" w:ascii="Symbol" w:hAnsi="Symbol" w:eastAsia="MS Mincho"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13"/>
  </w:num>
  <w:num w:numId="2">
    <w:abstractNumId w:val="5"/>
  </w:num>
  <w:num w:numId="3">
    <w:abstractNumId w:val="4"/>
  </w:num>
  <w:num w:numId="4">
    <w:abstractNumId w:val="0"/>
  </w:num>
  <w:num w:numId="5">
    <w:abstractNumId w:val="16"/>
  </w:num>
  <w:num w:numId="6">
    <w:abstractNumId w:val="17"/>
  </w:num>
  <w:num w:numId="7">
    <w:abstractNumId w:val="3"/>
  </w:num>
  <w:num w:numId="8">
    <w:abstractNumId w:val="8"/>
  </w:num>
  <w:num w:numId="9">
    <w:abstractNumId w:val="12"/>
  </w:num>
  <w:num w:numId="10">
    <w:abstractNumId w:val="1"/>
  </w:num>
  <w:num w:numId="11">
    <w:abstractNumId w:val="9"/>
  </w:num>
  <w:num w:numId="12">
    <w:abstractNumId w:val="20"/>
  </w:num>
  <w:num w:numId="13">
    <w:abstractNumId w:val="11"/>
  </w:num>
  <w:num w:numId="14">
    <w:abstractNumId w:val="14"/>
  </w:num>
  <w:num w:numId="15">
    <w:abstractNumId w:val="10"/>
  </w:num>
  <w:num w:numId="16">
    <w:abstractNumId w:val="15"/>
  </w:num>
  <w:num w:numId="17">
    <w:abstractNumId w:val="19"/>
  </w:num>
  <w:num w:numId="18">
    <w:abstractNumId w:val="2"/>
  </w:num>
  <w:num w:numId="19">
    <w:abstractNumId w:val="6"/>
  </w:num>
  <w:num w:numId="20">
    <w:abstractNumId w:val="18"/>
  </w:num>
  <w:num w:numId="21">
    <w:abstractNumId w:val="7"/>
  </w:num>
</w:numbering>
</file>

<file path=word/settings.xml><?xml version="1.0" encoding="utf-8"?>
<w:settings xmlns:w="http://schemas.openxmlformats.org/wordprocessingml/2006/main" xmlns:m="http://schemas.openxmlformats.org/officeDocument/2006/math"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mc:Ignorable=" w15">
  <w:zoom w:percent="100"/>
  <w:displayBackgroundShape/>
  <w:proofState w:spelling="clean" w:grammar="clean"/>
  <w:defaultTabStop w:val="720"/>
  <w:characterSpacingControl w:val="doNotCompress"/>
  <w:hdrShapeDefaults>
    <o:shapedefaults xmlns:o="urn:schemas-microsoft-com:office:office" xmlns:v="urn:schemas-microsoft-com:vml" spidmax="4098" v:ext="edit">
      <o:colormenu fillcolor="none" v:ext="edi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365e829e-f608-4caa-bdb5-fd5cafda1548"/>
  </w:docVars>
  <w:rsids>
    <w:rsidRoot w:val="001B57E5"/>
    <w:rsid w:val="001B57E5"/>
    <w:rsid w:val="00301C59"/>
    <w:rsid w:val="006D01ED"/>
    <w:rsid w:val="008816DF"/>
    <w:rsid w:val="008902DC"/>
    <w:rsid w:val="00F330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4098" v:ext="edit">
      <o:colormenu fillcolor="none" v:ext="edit"/>
    </o:shapedefaults>
    <o:shapelayout xmlns:o="urn:schemas-microsoft-com:office:office" xmlns:v="urn:schemas-microsoft-com:vml" v:ext="edit">
      <o:idmap data="1" v:ext="edit"/>
    </o:shapelayout>
  </w:shapeDefaults>
  <w:decimalSymbol w:val="."/>
  <w:listSeparator w:val=","/>
  <w15:chartTrackingRefBased/>
  <w15:docId w15:val="{D49BECEE-228D-46CA-84AF-DE119306A2F1}"/>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sid w:val="001B57E5"/>
  </w:style>
  <w:style w:type="paragraph" w:styleId="Heading1">
    <w:name w:val="heading 1"/>
    <w:basedOn w:val="Normal"/>
    <w:next w:val="Normal"/>
    <w:link w:val="Heading1Char"/>
    <w:uiPriority w:val="9"/>
    <w:qFormat/>
    <w:rsid w:val="001B57E5"/>
    <w:pPr>
      <w:widowControl w:val="false"/>
      <w:suppressAutoHyphens/>
      <w:autoSpaceDE w:val="false"/>
      <w:autoSpaceDN w:val="false"/>
      <w:adjustRightInd w:val="false"/>
      <w:spacing w:after="120" w:line="400" w:lineRule="atLeast"/>
      <w:textAlignment w:val="center"/>
      <w:outlineLvl w:val="0"/>
    </w:pPr>
    <w:rPr>
      <w:rFonts w:ascii="Typestar-Normal" w:hAnsi="Typestar-Normal" w:cs="Times New Roman" w:eastAsiaTheme="minorEastAsia"/>
      <w:b/>
      <w:bCs/>
      <w:color w:val="490F36"/>
      <w:sz w:val="36"/>
      <w:szCs w:val="36"/>
      <w:lang w:val="en-GB"/>
    </w:rPr>
  </w:style>
  <w:style w:type="paragraph" w:styleId="Heading2">
    <w:name w:val="heading 2"/>
    <w:basedOn w:val="Normal"/>
    <w:next w:val="Normal"/>
    <w:link w:val="Heading2Char"/>
    <w:uiPriority w:val="9"/>
    <w:semiHidden/>
    <w:unhideWhenUsed/>
    <w:qFormat/>
    <w:rsid w:val="001B57E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57E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
    <w:rsid w:val="001B57E5"/>
    <w:rPr>
      <w:rFonts w:ascii="Typestar-Normal" w:hAnsi="Typestar-Normal" w:cs="Times New Roman" w:eastAsiaTheme="minorEastAsia"/>
      <w:b/>
      <w:bCs/>
      <w:color w:val="490F36"/>
      <w:sz w:val="36"/>
      <w:szCs w:val="36"/>
      <w:lang w:val="en-GB"/>
    </w:rPr>
  </w:style>
  <w:style w:type="character" w:styleId="Heading2Char" w:customStyle="true">
    <w:name w:val="Heading 2 Char"/>
    <w:basedOn w:val="DefaultParagraphFont"/>
    <w:link w:val="Heading2"/>
    <w:uiPriority w:val="9"/>
    <w:semiHidden/>
    <w:rsid w:val="001B57E5"/>
    <w:rPr>
      <w:rFonts w:asciiTheme="majorHAnsi" w:hAnsiTheme="majorHAnsi" w:eastAsiaTheme="majorEastAsia" w:cstheme="majorBidi"/>
      <w:color w:val="2E74B5" w:themeColor="accent1" w:themeShade="BF"/>
      <w:sz w:val="26"/>
      <w:szCs w:val="26"/>
    </w:rPr>
  </w:style>
  <w:style w:type="character" w:styleId="Heading3Char" w:customStyle="true">
    <w:name w:val="Heading 3 Char"/>
    <w:basedOn w:val="DefaultParagraphFont"/>
    <w:link w:val="Heading3"/>
    <w:uiPriority w:val="9"/>
    <w:semiHidden/>
    <w:rsid w:val="001B57E5"/>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iPriority w:val="99"/>
    <w:unhideWhenUsed/>
    <w:rsid w:val="001B57E5"/>
    <w:pPr>
      <w:tabs>
        <w:tab w:val="center" w:pos="4513"/>
        <w:tab w:val="right" w:pos="9026"/>
      </w:tabs>
      <w:spacing w:after="0" w:line="240" w:lineRule="auto"/>
    </w:pPr>
  </w:style>
  <w:style w:type="character" w:styleId="HeaderChar" w:customStyle="true">
    <w:name w:val="Header Char"/>
    <w:basedOn w:val="DefaultParagraphFont"/>
    <w:link w:val="Header"/>
    <w:uiPriority w:val="99"/>
    <w:rsid w:val="001B57E5"/>
  </w:style>
  <w:style w:type="paragraph" w:styleId="Footer">
    <w:name w:val="footer"/>
    <w:basedOn w:val="Normal"/>
    <w:link w:val="FooterChar"/>
    <w:uiPriority w:val="99"/>
    <w:unhideWhenUsed/>
    <w:rsid w:val="001B57E5"/>
    <w:pPr>
      <w:tabs>
        <w:tab w:val="center" w:pos="4513"/>
        <w:tab w:val="right" w:pos="9026"/>
      </w:tabs>
      <w:spacing w:after="0" w:line="240" w:lineRule="auto"/>
    </w:pPr>
  </w:style>
  <w:style w:type="character" w:styleId="FooterChar" w:customStyle="true">
    <w:name w:val="Footer Char"/>
    <w:basedOn w:val="DefaultParagraphFont"/>
    <w:link w:val="Footer"/>
    <w:uiPriority w:val="99"/>
    <w:rsid w:val="001B57E5"/>
  </w:style>
  <w:style w:type="paragraph" w:styleId="ListParagraph">
    <w:name w:val="List Paragraph"/>
    <w:basedOn w:val="Normal"/>
    <w:uiPriority w:val="34"/>
    <w:qFormat/>
    <w:rsid w:val="001B57E5"/>
    <w:pPr>
      <w:ind w:left="720"/>
      <w:contextualSpacing/>
    </w:pPr>
  </w:style>
  <w:style w:type="character" w:styleId="Emphasis">
    <w:name w:val="Emphasis"/>
    <w:basedOn w:val="DefaultParagraphFont"/>
    <w:uiPriority w:val="20"/>
    <w:qFormat/>
    <w:rsid w:val="001B57E5"/>
    <w:rPr>
      <w:i/>
      <w:iCs/>
    </w:rPr>
  </w:style>
  <w:style w:type="paragraph" w:styleId="FootnoteText">
    <w:name w:val="footnote text"/>
    <w:basedOn w:val="Normal"/>
    <w:link w:val="FootnoteTextChar"/>
    <w:uiPriority w:val="99"/>
    <w:unhideWhenUsed/>
    <w:rsid w:val="001B57E5"/>
    <w:pPr>
      <w:spacing w:after="0" w:line="240" w:lineRule="auto"/>
    </w:pPr>
    <w:rPr>
      <w:sz w:val="20"/>
      <w:szCs w:val="20"/>
    </w:rPr>
  </w:style>
  <w:style w:type="character" w:styleId="FootnoteTextChar" w:customStyle="true">
    <w:name w:val="Footnote Text Char"/>
    <w:basedOn w:val="DefaultParagraphFont"/>
    <w:link w:val="FootnoteText"/>
    <w:uiPriority w:val="99"/>
    <w:rsid w:val="001B57E5"/>
    <w:rPr>
      <w:sz w:val="20"/>
      <w:szCs w:val="20"/>
    </w:rPr>
  </w:style>
  <w:style w:type="character" w:styleId="FootnoteReference">
    <w:name w:val="footnote reference"/>
    <w:basedOn w:val="DefaultParagraphFont"/>
    <w:uiPriority w:val="99"/>
    <w:unhideWhenUsed/>
    <w:rsid w:val="001B57E5"/>
    <w:rPr>
      <w:vertAlign w:val="superscript"/>
    </w:rPr>
  </w:style>
  <w:style w:type="character" w:styleId="Hyperlink">
    <w:name w:val="Hyperlink"/>
    <w:basedOn w:val="DefaultParagraphFont"/>
    <w:uiPriority w:val="99"/>
    <w:unhideWhenUsed/>
    <w:rsid w:val="001B57E5"/>
    <w:rPr>
      <w:color w:val="0563C1" w:themeColor="hyperlink"/>
      <w:u w:val="single"/>
    </w:rPr>
  </w:style>
  <w:style w:type="paragraph" w:styleId="BodyTextSpaceAfter" w:customStyle="true">
    <w:name w:val="Body Text Space After"/>
    <w:basedOn w:val="Normal"/>
    <w:link w:val="BodyTextSpaceAfterChar"/>
    <w:uiPriority w:val="99"/>
    <w:qFormat/>
    <w:rsid w:val="001B57E5"/>
    <w:pPr>
      <w:widowControl w:val="false"/>
      <w:suppressAutoHyphens/>
      <w:autoSpaceDE w:val="false"/>
      <w:autoSpaceDN w:val="false"/>
      <w:adjustRightInd w:val="false"/>
      <w:spacing w:after="227" w:line="250" w:lineRule="atLeast"/>
      <w:textAlignment w:val="center"/>
    </w:pPr>
    <w:rPr>
      <w:rFonts w:ascii="Roboto Condensed Light" w:hAnsi="Roboto Condensed Light" w:cs="TradeGothic-Light" w:eastAsiaTheme="minorEastAsia"/>
      <w:color w:val="000000"/>
      <w:lang w:val="en-GB"/>
    </w:rPr>
  </w:style>
  <w:style w:type="paragraph" w:styleId="BodyText">
    <w:name w:val="Body Text"/>
    <w:aliases w:val="Body - No spacing"/>
    <w:basedOn w:val="BodyTextSpaceAfter"/>
    <w:link w:val="BodyTextChar"/>
    <w:uiPriority w:val="99"/>
    <w:qFormat/>
    <w:rsid w:val="001B57E5"/>
    <w:pPr>
      <w:spacing w:after="57"/>
    </w:pPr>
  </w:style>
  <w:style w:type="character" w:styleId="BodyTextChar" w:customStyle="true">
    <w:name w:val="Body Text Char"/>
    <w:aliases w:val="Body - No spacing Char"/>
    <w:basedOn w:val="DefaultParagraphFont"/>
    <w:link w:val="BodyText"/>
    <w:uiPriority w:val="99"/>
    <w:rsid w:val="001B57E5"/>
    <w:rPr>
      <w:rFonts w:ascii="Roboto Condensed Light" w:hAnsi="Roboto Condensed Light" w:cs="TradeGothic-Light" w:eastAsiaTheme="minorEastAsia"/>
      <w:color w:val="000000"/>
      <w:lang w:val="en-GB"/>
    </w:rPr>
  </w:style>
  <w:style w:type="character" w:styleId="BodyTextSpaceAfterChar" w:customStyle="true">
    <w:name w:val="Body Text Space After Char"/>
    <w:basedOn w:val="DefaultParagraphFont"/>
    <w:link w:val="BodyTextSpaceAfter"/>
    <w:uiPriority w:val="99"/>
    <w:rsid w:val="001B57E5"/>
    <w:rPr>
      <w:rFonts w:ascii="Roboto Condensed Light" w:hAnsi="Roboto Condensed Light" w:cs="TradeGothic-Light" w:eastAsiaTheme="minorEastAsia"/>
      <w:color w:val="000000"/>
      <w:lang w:val="en-GB"/>
    </w:rPr>
  </w:style>
  <w:style w:type="table" w:styleId="TableGrid">
    <w:name w:val="Table Grid"/>
    <w:basedOn w:val="TableNormal"/>
    <w:uiPriority w:val="59"/>
    <w:rsid w:val="001B57E5"/>
    <w:pPr>
      <w:spacing w:after="0" w:line="240" w:lineRule="auto"/>
    </w:pPr>
    <w:rPr>
      <w:rFonts w:eastAsiaTheme="minorEastAsi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B57E5"/>
    <w:pPr>
      <w:spacing w:after="0" w:line="240" w:lineRule="auto"/>
    </w:pPr>
    <w:rPr>
      <w:rFonts w:ascii="Lucida Grande" w:hAnsi="Lucida Grande" w:cs="Lucida Grande"/>
      <w:sz w:val="18"/>
      <w:szCs w:val="18"/>
    </w:rPr>
  </w:style>
  <w:style w:type="character" w:styleId="BalloonTextChar" w:customStyle="true">
    <w:name w:val="Balloon Text Char"/>
    <w:basedOn w:val="DefaultParagraphFont"/>
    <w:link w:val="BalloonText"/>
    <w:uiPriority w:val="99"/>
    <w:semiHidden/>
    <w:rsid w:val="001B57E5"/>
    <w:rPr>
      <w:rFonts w:ascii="Lucida Grande" w:hAnsi="Lucida Grande" w:cs="Lucida Grande"/>
      <w:sz w:val="18"/>
      <w:szCs w:val="18"/>
    </w:rPr>
  </w:style>
  <w:style w:type="paragraph" w:styleId="NoSpacing">
    <w:name w:val="No Spacing"/>
    <w:uiPriority w:val="1"/>
    <w:qFormat/>
    <w:rsid w:val="001B57E5"/>
    <w:pPr>
      <w:spacing w:after="0" w:line="240" w:lineRule="auto"/>
    </w:pPr>
  </w:style>
  <w:style w:type="paragraph" w:styleId="NormalWeb">
    <w:name w:val="Normal (Web)"/>
    <w:basedOn w:val="Normal"/>
    <w:uiPriority w:val="99"/>
    <w:semiHidden/>
    <w:unhideWhenUsed/>
    <w:rsid w:val="001B57E5"/>
    <w:pPr>
      <w:spacing w:before="100" w:beforeAutospacing="true" w:after="100" w:afterAutospacing="true" w:line="240" w:lineRule="auto"/>
    </w:pPr>
    <w:rPr>
      <w:rFonts w:ascii="Times New Roman" w:hAnsi="Times New Roman" w:cs="Times New Roman" w:eastAsiaTheme="minorEastAsia"/>
      <w:sz w:val="24"/>
      <w:szCs w:val="24"/>
      <w:lang w:eastAsia="en-AU"/>
    </w:rPr>
  </w:style>
  <w:style w:type="character" w:styleId="CommentReference">
    <w:name w:val="annotation reference"/>
    <w:basedOn w:val="DefaultParagraphFont"/>
    <w:uiPriority w:val="99"/>
    <w:semiHidden/>
    <w:unhideWhenUsed/>
    <w:rsid w:val="001B57E5"/>
    <w:rPr>
      <w:sz w:val="16"/>
      <w:szCs w:val="16"/>
    </w:rPr>
  </w:style>
  <w:style w:type="paragraph" w:styleId="CommentText">
    <w:name w:val="annotation text"/>
    <w:basedOn w:val="Normal"/>
    <w:link w:val="CommentTextChar"/>
    <w:uiPriority w:val="99"/>
    <w:semiHidden/>
    <w:unhideWhenUsed/>
    <w:rsid w:val="001B57E5"/>
    <w:pPr>
      <w:spacing w:line="240" w:lineRule="auto"/>
    </w:pPr>
    <w:rPr>
      <w:sz w:val="20"/>
      <w:szCs w:val="20"/>
    </w:rPr>
  </w:style>
  <w:style w:type="character" w:styleId="CommentTextChar" w:customStyle="true">
    <w:name w:val="Comment Text Char"/>
    <w:basedOn w:val="DefaultParagraphFont"/>
    <w:link w:val="CommentText"/>
    <w:uiPriority w:val="99"/>
    <w:semiHidden/>
    <w:rsid w:val="001B57E5"/>
    <w:rPr>
      <w:sz w:val="20"/>
      <w:szCs w:val="20"/>
    </w:rPr>
  </w:style>
  <w:style w:type="paragraph" w:styleId="CommentSubject">
    <w:name w:val="annotation subject"/>
    <w:basedOn w:val="CommentText"/>
    <w:next w:val="CommentText"/>
    <w:link w:val="CommentSubjectChar"/>
    <w:uiPriority w:val="99"/>
    <w:semiHidden/>
    <w:unhideWhenUsed/>
    <w:rsid w:val="001B57E5"/>
    <w:rPr>
      <w:b/>
      <w:bCs/>
    </w:rPr>
  </w:style>
  <w:style w:type="character" w:styleId="CommentSubjectChar" w:customStyle="true">
    <w:name w:val="Comment Subject Char"/>
    <w:basedOn w:val="CommentTextChar"/>
    <w:link w:val="CommentSubject"/>
    <w:uiPriority w:val="99"/>
    <w:semiHidden/>
    <w:rsid w:val="001B57E5"/>
    <w:rPr>
      <w:b/>
      <w:bCs/>
      <w:sz w:val="20"/>
      <w:szCs w:val="20"/>
    </w:rPr>
  </w:style>
  <w:style w:type="paragraph" w:styleId="Default" w:customStyle="true">
    <w:name w:val="Default"/>
    <w:rsid w:val="001B57E5"/>
    <w:pPr>
      <w:autoSpaceDE w:val="false"/>
      <w:autoSpaceDN w:val="false"/>
      <w:adjustRightInd w:val="false"/>
      <w:spacing w:after="0" w:line="240" w:lineRule="auto"/>
    </w:pPr>
    <w:rPr>
      <w:rFonts w:ascii="Roboto Condensed" w:hAnsi="Roboto Condensed" w:cs="Roboto Condensed"/>
      <w:color w:val="000000"/>
      <w:sz w:val="24"/>
      <w:szCs w:val="24"/>
    </w:rPr>
  </w:style>
  <w:style w:type="character" w:styleId="TableHeadingChar" w:customStyle="true">
    <w:name w:val="Table Heading Char"/>
    <w:basedOn w:val="DefaultParagraphFont"/>
    <w:link w:val="TableHeading"/>
    <w:locked/>
    <w:rsid w:val="001B57E5"/>
    <w:rPr>
      <w:rFonts w:ascii="TradeGothic" w:hAnsi="TradeGothic" w:cs="TradeGothic-Bold"/>
      <w:sz w:val="20"/>
      <w:szCs w:val="20"/>
      <w:lang w:val="en-GB"/>
    </w:rPr>
  </w:style>
  <w:style w:type="paragraph" w:styleId="TableHeading" w:customStyle="true">
    <w:name w:val="Table Heading"/>
    <w:basedOn w:val="BodyTextSpaceAfter"/>
    <w:link w:val="TableHeadingChar"/>
    <w:qFormat/>
    <w:rsid w:val="001B57E5"/>
    <w:pPr>
      <w:keepNext/>
      <w:spacing w:before="170" w:after="57" w:line="260" w:lineRule="atLeast"/>
      <w:textAlignment w:val="auto"/>
    </w:pPr>
    <w:rPr>
      <w:rFonts w:ascii="TradeGothic" w:hAnsi="TradeGothic" w:cs="TradeGothic-Bold" w:eastAsiaTheme="minorHAnsi"/>
      <w:color w:val="auto"/>
      <w:sz w:val="20"/>
      <w:szCs w:val="20"/>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allowPNG/>
</w:webSettings>
</file>

<file path=word/_rels/document.xml.rels><?xml version="1.0" encoding="UTF-8"?>
<Relationships xmlns="http://schemas.openxmlformats.org/package/2006/relationships">
   <Relationship Target="header1.xml" Type="http://schemas.openxmlformats.org/officeDocument/2006/relationships/header" Id="rId8"/>
   <Relationship Target="footer3.xml" Type="http://schemas.openxmlformats.org/officeDocument/2006/relationships/footer" Id="rId13"/>
   <Relationship Target="settings.xml" Type="http://schemas.openxmlformats.org/officeDocument/2006/relationships/settings" Id="rId3"/>
   <Relationship Target="media/image1.png" Type="http://schemas.openxmlformats.org/officeDocument/2006/relationships/image" Id="rId7"/>
   <Relationship Target="header3.xml" Type="http://schemas.openxmlformats.org/officeDocument/2006/relationships/header" Id="rId12"/>
   <Relationship Target="theme/theme1.xml" Type="http://schemas.openxmlformats.org/officeDocument/2006/relationships/theme" Id="rId17"/>
   <Relationship Target="styles.xml" Type="http://schemas.openxmlformats.org/officeDocument/2006/relationships/styles" Id="rId2"/>
   <Relationship Target="fontTable.xml" Type="http://schemas.openxmlformats.org/officeDocument/2006/relationships/fontTable" Id="rId16"/>
   <Relationship Target="numbering.xml" Type="http://schemas.openxmlformats.org/officeDocument/2006/relationships/numbering" Id="rId1"/>
   <Relationship Target="endnotes.xml" Type="http://schemas.openxmlformats.org/officeDocument/2006/relationships/endnotes" Id="rId6"/>
   <Relationship Target="footer2.xml" Type="http://schemas.openxmlformats.org/officeDocument/2006/relationships/footer" Id="rId11"/>
   <Relationship Target="footnotes.xml" Type="http://schemas.openxmlformats.org/officeDocument/2006/relationships/footnotes" Id="rId5"/>
   <Relationship Target="footer4.xml" Type="http://schemas.openxmlformats.org/officeDocument/2006/relationships/footer" Id="rId15"/>
   <Relationship Target="footer1.xml" Type="http://schemas.openxmlformats.org/officeDocument/2006/relationships/footer" Id="rId10"/>
   <Relationship Target="webSettings.xml" Type="http://schemas.openxmlformats.org/officeDocument/2006/relationships/webSettings" Id="rId4"/>
   <Relationship Target="header2.xml" Type="http://schemas.openxmlformats.org/officeDocument/2006/relationships/header" Id="rId9"/>
   <Relationship Target="header4.xml" Type="http://schemas.openxmlformats.org/officeDocument/2006/relationships/header" Id="rId14"/>
</Relationships>

</file>

<file path=word/_rels/footer4.xml.rels><?xml version="1.0" encoding="UTF-8"?>
<Relationships xmlns="http://schemas.openxmlformats.org/package/2006/relationships">
   <Relationship TargetMode="External" Target="http://www.crimestatistics.vic.gov.au" Type="http://schemas.openxmlformats.org/officeDocument/2006/relationships/hyperlink" Id="rId3"/>
   <Relationship TargetMode="External" Target="mailto:info@crimestatistics.vic.gov.au" Type="http://schemas.openxmlformats.org/officeDocument/2006/relationships/hyperlink" Id="rId2"/>
   <Relationship TargetMode="External" Target="file:///F:\New%20folder\creativecommons.org.au\licenses\by\3.0\au" Type="http://schemas.openxmlformats.org/officeDocument/2006/relationships/hyperlink" Id="rId1"/>
</Relationships>

</file>

<file path=word/_rels/header3.xml.rels><?xml version="1.0" encoding="UTF-8"?>
<Relationships xmlns="http://schemas.openxmlformats.org/package/2006/relationships">
   <Relationship Target="media/image2.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
  <properties:Pages>18</properties:Pages>
  <properties:Words>8659</properties:Words>
  <properties:Characters>49358</properties:Characters>
  <properties:Lines>411</properties:Lines>
  <properties:Paragraphs>115</properties:Paragraphs>
  <properties:TotalTime>11</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57902</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2016-05-26T05:33:00Z</dcterms:created>
  <dc:creator/>
  <dc:description/>
  <cp:keywords/>
  <cp:lastModifiedBy/>
  <cp:lastPrinted>2016-05-26T05:45:00Z</cp:lastPrinted>
  <dcterms:modified xmlns:xsi="http://www.w3.org/2001/XMLSchema-instance" xsi:type="dcterms:W3CDTF">2016-05-26T05:46:00Z</dcterms:modified>
  <cp:revision>3</cp:revision>
  <dc:subject/>
  <dc:title/>
</cp:coreProperties>
</file>