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themeOverride+xml" PartName="/word/theme/themeOverride1.xml"/>
  <Override ContentType="application/vnd.openxmlformats-officedocument.themeOverride+xml" PartName="/word/theme/themeOverride2.xml"/>
  <Override ContentType="application/vnd.openxmlformats-officedocument.themeOverride+xml" PartName="/word/theme/themeOverride3.xml"/>
  <Override ContentType="application/vnd.openxmlformats-officedocument.themeOverride+xml" PartName="/word/theme/themeOverride4.xml"/>
  <Override ContentType="application/vnd.openxmlformats-officedocument.themeOverride+xml" PartName="/word/theme/themeOverride5.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body>
    <!-- Modified by docx4j 8.2.0 (Apache licensed) using ECLIPSELINK_MOXy JAXB in Oracle Java 1.8.0_161 on Linux -->
    <w:p w:rsidRPr="00B712C7" w:rsidR="00D741F0" w:rsidP="00D56A7C" w:rsidRDefault="00D56A7C" w14:paraId="0065457B" w14:textId="38105667">
      <w:pPr>
        <w:pStyle w:val="Heading1"/>
        <w:spacing w:after="0"/>
        <w:ind w:left="-709"/>
        <w:jc w:val="both"/>
        <w:rPr>
          <w:rFonts w:ascii="Arial" w:hAnsi="Arial" w:cs="Arial"/>
          <w:b w:val="false"/>
          <w:color w:val="881E76"/>
          <w:sz w:val="20"/>
          <w:szCs w:val="20"/>
        </w:rPr>
      </w:pPr>
      <w:r w:rsidRPr="00B712C7">
        <w:rPr>
          <w:rFonts w:ascii="Arial" w:hAnsi="Arial" w:cs="Arial"/>
          <w:b w:val="false"/>
          <w:color w:val="881E76"/>
          <w:sz w:val="20"/>
          <w:szCs w:val="20"/>
        </w:rPr>
        <w:t>Number 1, September 2015</w:t>
      </w:r>
      <w:r w:rsidR="00447C5E">
        <w:rPr>
          <w:rFonts w:ascii="Arial" w:hAnsi="Arial" w:cs="Arial"/>
          <w:b w:val="false"/>
          <w:color w:val="881E76"/>
          <w:sz w:val="20"/>
          <w:szCs w:val="20"/>
        </w:rPr>
        <w:t xml:space="preserve"> (revised)</w:t>
      </w:r>
      <w:bookmarkStart w:id="0" w:name="_GoBack"/>
      <w:bookmarkEnd w:id="0"/>
    </w:p>
    <w:p w:rsidRPr="00B712C7" w:rsidR="00D56A7C" w:rsidP="00D56A7C" w:rsidRDefault="00D56A7C" w14:paraId="784EC618" w14:textId="77777777">
      <w:pPr>
        <w:rPr>
          <w:rFonts w:ascii="Arial" w:hAnsi="Arial" w:cs="Arial"/>
        </w:rPr>
      </w:pPr>
    </w:p>
    <w:p w:rsidRPr="00B712C7" w:rsidR="00EF0EE5" w:rsidP="00FA6E68" w:rsidRDefault="00923216" w14:paraId="48272CDD" w14:textId="77777777">
      <w:pPr>
        <w:pStyle w:val="Heading1"/>
        <w:spacing w:after="0" w:line="240" w:lineRule="auto"/>
        <w:ind w:left="-709"/>
        <w:rPr>
          <w:rFonts w:ascii="Arial" w:hAnsi="Arial" w:cs="Arial"/>
          <w:b w:val="false"/>
          <w:sz w:val="28"/>
          <w:szCs w:val="28"/>
        </w:rPr>
      </w:pPr>
      <w:r w:rsidRPr="00B712C7">
        <w:rPr>
          <w:rFonts w:ascii="Arial" w:hAnsi="Arial" w:cs="Arial"/>
          <w:b w:val="false"/>
          <w:sz w:val="28"/>
          <w:szCs w:val="28"/>
        </w:rPr>
        <w:t>R</w:t>
      </w:r>
      <w:r w:rsidRPr="00B712C7" w:rsidR="00EF0EE5">
        <w:rPr>
          <w:rFonts w:ascii="Arial" w:hAnsi="Arial" w:cs="Arial"/>
          <w:b w:val="false"/>
          <w:sz w:val="28"/>
          <w:szCs w:val="28"/>
        </w:rPr>
        <w:t xml:space="preserve">ecorded drug use and possession </w:t>
      </w:r>
      <w:r w:rsidRPr="00B712C7" w:rsidR="00B03F1E">
        <w:rPr>
          <w:rFonts w:ascii="Arial" w:hAnsi="Arial" w:cs="Arial"/>
          <w:b w:val="false"/>
          <w:sz w:val="28"/>
          <w:szCs w:val="28"/>
        </w:rPr>
        <w:t>offences and offenders,</w:t>
      </w:r>
      <w:r w:rsidRPr="00B712C7" w:rsidR="00EF0EE5">
        <w:rPr>
          <w:rFonts w:ascii="Arial" w:hAnsi="Arial" w:cs="Arial"/>
          <w:b w:val="false"/>
          <w:sz w:val="28"/>
          <w:szCs w:val="28"/>
        </w:rPr>
        <w:t xml:space="preserve"> 2005 – 2014</w:t>
      </w:r>
    </w:p>
    <w:p w:rsidRPr="00B712C7" w:rsidR="00EF0EE5" w:rsidP="00FA6E68" w:rsidRDefault="00B102DF" w14:paraId="21F1086F" w14:textId="77777777">
      <w:pPr>
        <w:spacing w:after="0" w:line="240" w:lineRule="auto"/>
        <w:ind w:left="-709"/>
        <w:rPr>
          <w:rFonts w:ascii="Arial" w:hAnsi="Arial" w:cs="Arial"/>
          <w:i/>
          <w:lang w:val="en-GB"/>
        </w:rPr>
      </w:pPr>
      <w:r w:rsidRPr="00B712C7">
        <w:rPr>
          <w:rFonts w:ascii="Arial" w:hAnsi="Arial" w:cs="Arial"/>
          <w:i/>
          <w:lang w:val="en-GB"/>
        </w:rPr>
        <w:t>Melanie Millsteed &amp; Cleave McDonald</w:t>
      </w:r>
    </w:p>
    <w:p w:rsidRPr="00B712C7" w:rsidR="00B102DF" w:rsidP="00492396" w:rsidRDefault="00B102DF" w14:paraId="36DD4CA3" w14:textId="77777777">
      <w:pPr>
        <w:pStyle w:val="ListParagraph"/>
        <w:widowControl w:val="false"/>
        <w:suppressAutoHyphens/>
        <w:autoSpaceDE w:val="false"/>
        <w:autoSpaceDN w:val="false"/>
        <w:adjustRightInd w:val="false"/>
        <w:spacing w:before="170" w:after="57" w:line="300" w:lineRule="atLeast"/>
        <w:ind w:left="1134" w:right="1418"/>
        <w:textAlignment w:val="center"/>
        <w:outlineLvl w:val="2"/>
        <w:rPr>
          <w:rFonts w:ascii="Arial" w:hAnsi="Arial" w:eastAsia="MS Mincho" w:cs="Arial"/>
        </w:rPr>
      </w:pPr>
    </w:p>
    <w:p w:rsidRPr="00B712C7" w:rsidR="000D2F7B" w:rsidP="000D2F7B" w:rsidRDefault="000D2F7B" w14:paraId="0C3D9A40" w14:textId="77777777">
      <w:pPr>
        <w:pStyle w:val="ListParagraph"/>
        <w:widowControl w:val="false"/>
        <w:suppressAutoHyphens/>
        <w:autoSpaceDE w:val="false"/>
        <w:autoSpaceDN w:val="false"/>
        <w:adjustRightInd w:val="false"/>
        <w:spacing w:before="170" w:after="57" w:line="300" w:lineRule="atLeast"/>
        <w:ind w:left="426" w:right="1418"/>
        <w:jc w:val="both"/>
        <w:textAlignment w:val="center"/>
        <w:outlineLvl w:val="2"/>
        <w:rPr>
          <w:rFonts w:ascii="Arial" w:hAnsi="Arial" w:eastAsia="MS Mincho" w:cs="Arial"/>
          <w:sz w:val="20"/>
          <w:szCs w:val="20"/>
        </w:rPr>
      </w:pPr>
      <w:r w:rsidRPr="00B712C7">
        <w:rPr>
          <w:rFonts w:ascii="Arial" w:hAnsi="Arial" w:eastAsia="MS Mincho" w:cs="Arial"/>
          <w:sz w:val="20"/>
          <w:szCs w:val="20"/>
        </w:rPr>
        <w:t xml:space="preserve">The number of recorded drug use and possession offences in Victoria has continued to increase over the past five years, while other evidence suggests that the number of people using drugs has remained stable. This exploratory study analysed trends in both the number and rate of drug use and possession offences and offenders over the past ten years, as well as the characteristics of these offenders. The research found that the rate of offences has continued to rise since 2010. The rate of offenders has also risen, but to a lesser extent. Over the past two years, the increase in both the offence and offender rates has slowed. Seventy two percent of recorded drug use and possession offenders were only recorded for one use and possession offence incident between 2005 and 2014. The majority of recorded offenders were male (81.4%) and aged under 30 at the time of their first recorded offence in the dataset (62.7%). Further research will be conducted to examine whether the observed increases over past five years were driven by offending in particular geographic regions or by offences relating to particular drug types. </w:t>
      </w:r>
    </w:p>
    <w:p w:rsidRPr="00B712C7" w:rsidR="000D2F7B" w:rsidP="000D2F7B" w:rsidRDefault="000D2F7B" w14:paraId="32533F20" w14:textId="04717F22">
      <w:pPr>
        <w:pStyle w:val="ListParagraph"/>
        <w:widowControl w:val="false"/>
        <w:suppressAutoHyphens/>
        <w:autoSpaceDE w:val="false"/>
        <w:autoSpaceDN w:val="false"/>
        <w:adjustRightInd w:val="false"/>
        <w:spacing w:before="170" w:after="57" w:line="300" w:lineRule="atLeast"/>
        <w:ind w:left="426" w:right="1418"/>
        <w:jc w:val="both"/>
        <w:textAlignment w:val="center"/>
        <w:outlineLvl w:val="2"/>
        <w:rPr>
          <w:rFonts w:ascii="Arial" w:hAnsi="Arial" w:eastAsia="MS Mincho" w:cs="Arial"/>
          <w:sz w:val="20"/>
          <w:szCs w:val="20"/>
        </w:rPr>
      </w:pPr>
      <w:r w:rsidRPr="00B712C7">
        <w:rPr>
          <w:rFonts w:ascii="Arial" w:hAnsi="Arial" w:eastAsia="MS Mincho" w:cs="Arial"/>
          <w:i/>
          <w:sz w:val="20"/>
          <w:szCs w:val="20"/>
        </w:rPr>
        <w:t xml:space="preserve">Keywords: </w:t>
      </w:r>
      <w:r w:rsidRPr="00B712C7" w:rsidR="00D514BA">
        <w:rPr>
          <w:rFonts w:ascii="Arial" w:hAnsi="Arial" w:eastAsia="MS Mincho" w:cs="Arial"/>
          <w:i/>
          <w:sz w:val="20"/>
          <w:szCs w:val="20"/>
        </w:rPr>
        <w:t>trends, drug use and possession</w:t>
      </w:r>
      <w:r w:rsidRPr="00B712C7">
        <w:rPr>
          <w:rFonts w:ascii="Arial" w:hAnsi="Arial" w:eastAsia="MS Mincho" w:cs="Arial"/>
          <w:i/>
          <w:sz w:val="20"/>
          <w:szCs w:val="20"/>
        </w:rPr>
        <w:t>,</w:t>
      </w:r>
      <w:r w:rsidRPr="00B712C7" w:rsidR="00D514BA">
        <w:rPr>
          <w:rFonts w:ascii="Arial" w:hAnsi="Arial" w:eastAsia="MS Mincho" w:cs="Arial"/>
          <w:i/>
          <w:sz w:val="20"/>
          <w:szCs w:val="20"/>
        </w:rPr>
        <w:t xml:space="preserve"> recorded crime,</w:t>
      </w:r>
      <w:r w:rsidRPr="00B712C7">
        <w:rPr>
          <w:rFonts w:ascii="Arial" w:hAnsi="Arial" w:eastAsia="MS Mincho" w:cs="Arial"/>
          <w:i/>
          <w:sz w:val="20"/>
          <w:szCs w:val="20"/>
        </w:rPr>
        <w:t xml:space="preserve"> repeat offending, offender characteristics. </w:t>
      </w:r>
    </w:p>
    <w:p w:rsidRPr="00B712C7" w:rsidR="000D2F7B" w:rsidP="000D2F7B" w:rsidRDefault="000D2F7B" w14:paraId="3EA9791B" w14:textId="77777777">
      <w:pPr>
        <w:pStyle w:val="ListParagraph"/>
        <w:widowControl w:val="false"/>
        <w:suppressAutoHyphens/>
        <w:autoSpaceDE w:val="false"/>
        <w:autoSpaceDN w:val="false"/>
        <w:adjustRightInd w:val="false"/>
        <w:spacing w:before="170" w:after="57" w:line="300" w:lineRule="atLeast"/>
        <w:ind w:left="-567"/>
        <w:textAlignment w:val="center"/>
        <w:outlineLvl w:val="2"/>
        <w:rPr>
          <w:rFonts w:ascii="Arial" w:hAnsi="Arial" w:eastAsia="MS Mincho" w:cs="Arial"/>
          <w:color w:val="808080"/>
          <w:sz w:val="26"/>
          <w:szCs w:val="26"/>
          <w:lang w:val="en-GB"/>
        </w:rPr>
      </w:pPr>
      <w:r w:rsidRPr="00B712C7">
        <w:rPr>
          <w:rFonts w:ascii="Arial" w:hAnsi="Arial" w:eastAsia="MS Mincho" w:cs="Arial"/>
          <w:color w:val="808080"/>
          <w:sz w:val="26"/>
          <w:szCs w:val="26"/>
          <w:lang w:val="en-GB"/>
        </w:rPr>
        <w:tab/>
      </w:r>
      <w:r w:rsidRPr="00B712C7">
        <w:rPr>
          <w:rFonts w:ascii="Arial" w:hAnsi="Arial" w:eastAsia="MS Mincho" w:cs="Arial"/>
          <w:color w:val="808080"/>
          <w:sz w:val="26"/>
          <w:szCs w:val="26"/>
          <w:lang w:val="en-GB"/>
        </w:rPr>
        <w:tab/>
      </w:r>
    </w:p>
    <w:p w:rsidRPr="00B712C7" w:rsidR="00D56A7C" w:rsidP="00B102DF" w:rsidRDefault="00231779" w14:paraId="4AEC71EB" w14:textId="28481EE3">
      <w:pPr>
        <w:pStyle w:val="ListParagraph"/>
        <w:widowControl w:val="false"/>
        <w:suppressAutoHyphens/>
        <w:autoSpaceDE w:val="false"/>
        <w:autoSpaceDN w:val="false"/>
        <w:adjustRightInd w:val="false"/>
        <w:spacing w:before="170" w:after="57" w:line="300" w:lineRule="atLeast"/>
        <w:ind w:left="-567"/>
        <w:textAlignment w:val="center"/>
        <w:outlineLvl w:val="2"/>
        <w:rPr>
          <w:rFonts w:ascii="Arial" w:hAnsi="Arial" w:eastAsia="MS Mincho" w:cs="Arial"/>
          <w:color w:val="808080"/>
          <w:sz w:val="26"/>
          <w:szCs w:val="26"/>
          <w:lang w:val="en-GB"/>
        </w:rPr>
      </w:pPr>
      <w:r w:rsidRPr="00B712C7">
        <w:rPr>
          <w:rFonts w:ascii="Arial" w:hAnsi="Arial" w:eastAsia="MS Mincho" w:cs="Arial"/>
          <w:color w:val="808080"/>
          <w:sz w:val="26"/>
          <w:szCs w:val="26"/>
          <w:lang w:val="en-GB"/>
        </w:rPr>
        <w:tab/>
      </w:r>
      <w:r w:rsidRPr="00B712C7">
        <w:rPr>
          <w:rFonts w:ascii="Arial" w:hAnsi="Arial" w:eastAsia="MS Mincho" w:cs="Arial"/>
          <w:color w:val="808080"/>
          <w:sz w:val="26"/>
          <w:szCs w:val="26"/>
          <w:lang w:val="en-GB"/>
        </w:rPr>
        <w:tab/>
      </w:r>
    </w:p>
    <w:p w:rsidRPr="00B712C7" w:rsidR="000458AD" w:rsidP="000D2F7B" w:rsidRDefault="000458AD" w14:paraId="62D1D989" w14:textId="77777777">
      <w:pPr>
        <w:pStyle w:val="ListParagraph"/>
        <w:widowControl w:val="false"/>
        <w:suppressAutoHyphens/>
        <w:autoSpaceDE w:val="false"/>
        <w:autoSpaceDN w:val="false"/>
        <w:adjustRightInd w:val="false"/>
        <w:spacing w:before="170" w:after="57" w:line="300" w:lineRule="atLeast"/>
        <w:ind w:left="-567" w:firstLine="567"/>
        <w:textAlignment w:val="center"/>
        <w:outlineLvl w:val="2"/>
        <w:rPr>
          <w:rFonts w:ascii="Arial" w:hAnsi="Arial" w:eastAsia="MS Mincho" w:cs="Arial"/>
          <w:color w:val="808080"/>
          <w:sz w:val="26"/>
          <w:szCs w:val="26"/>
          <w:lang w:val="en-GB"/>
        </w:rPr>
      </w:pPr>
      <w:r w:rsidRPr="00B712C7">
        <w:rPr>
          <w:rFonts w:ascii="Arial" w:hAnsi="Arial" w:eastAsia="MS Mincho" w:cs="Arial"/>
          <w:color w:val="808080"/>
          <w:sz w:val="26"/>
          <w:szCs w:val="26"/>
          <w:lang w:val="en-GB"/>
        </w:rPr>
        <w:t xml:space="preserve">Introduction </w:t>
      </w:r>
    </w:p>
    <w:p w:rsidRPr="00B712C7" w:rsidR="00762568" w:rsidP="00762568" w:rsidRDefault="00B67F57" w14:paraId="2793522F" w14:textId="27AA0C99">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T</w:t>
      </w:r>
      <w:r w:rsidRPr="00B712C7" w:rsidR="00245410">
        <w:rPr>
          <w:rFonts w:ascii="Arial" w:hAnsi="Arial" w:eastAsia="MS Mincho" w:cs="Arial"/>
        </w:rPr>
        <w:t>he Crime Statisti</w:t>
      </w:r>
      <w:r w:rsidRPr="00B712C7">
        <w:rPr>
          <w:rFonts w:ascii="Arial" w:hAnsi="Arial" w:eastAsia="MS Mincho" w:cs="Arial"/>
        </w:rPr>
        <w:t xml:space="preserve">cs Agency’s (CSA’s) March 2015 </w:t>
      </w:r>
      <w:r w:rsidRPr="00B712C7" w:rsidR="00245410">
        <w:rPr>
          <w:rFonts w:ascii="Arial" w:hAnsi="Arial" w:eastAsia="MS Mincho" w:cs="Arial"/>
        </w:rPr>
        <w:t xml:space="preserve">quarterly </w:t>
      </w:r>
      <w:r w:rsidRPr="00B712C7" w:rsidR="00E72DDD">
        <w:rPr>
          <w:rFonts w:ascii="Arial" w:hAnsi="Arial" w:eastAsia="MS Mincho" w:cs="Arial"/>
        </w:rPr>
        <w:t xml:space="preserve">statistical </w:t>
      </w:r>
      <w:r w:rsidRPr="00B712C7">
        <w:rPr>
          <w:rFonts w:ascii="Arial" w:hAnsi="Arial" w:eastAsia="MS Mincho" w:cs="Arial"/>
        </w:rPr>
        <w:t>release reported that</w:t>
      </w:r>
      <w:r w:rsidRPr="00B712C7" w:rsidR="00245410">
        <w:rPr>
          <w:rFonts w:ascii="Arial" w:hAnsi="Arial" w:eastAsia="MS Mincho" w:cs="Arial"/>
        </w:rPr>
        <w:t xml:space="preserve"> </w:t>
      </w:r>
      <w:r w:rsidRPr="00B712C7" w:rsidR="00721FD3">
        <w:rPr>
          <w:rFonts w:ascii="Arial" w:hAnsi="Arial" w:eastAsia="MS Mincho" w:cs="Arial"/>
        </w:rPr>
        <w:t xml:space="preserve">along with some other offence categories, </w:t>
      </w:r>
      <w:r w:rsidRPr="00B712C7" w:rsidR="00245410">
        <w:rPr>
          <w:rFonts w:ascii="Arial" w:hAnsi="Arial" w:eastAsia="MS Mincho" w:cs="Arial"/>
        </w:rPr>
        <w:t>the rate of drug offences in Victoria has conti</w:t>
      </w:r>
      <w:r w:rsidRPr="00B712C7" w:rsidR="004E1E8B">
        <w:rPr>
          <w:rFonts w:ascii="Arial" w:hAnsi="Arial" w:eastAsia="MS Mincho" w:cs="Arial"/>
        </w:rPr>
        <w:t>nued to rise over the past five</w:t>
      </w:r>
      <w:r w:rsidRPr="00B712C7" w:rsidR="00245410">
        <w:rPr>
          <w:rFonts w:ascii="Arial" w:hAnsi="Arial" w:eastAsia="MS Mincho" w:cs="Arial"/>
        </w:rPr>
        <w:t xml:space="preserve"> years</w:t>
      </w:r>
      <w:r w:rsidRPr="00B712C7" w:rsidR="00BE7147">
        <w:rPr>
          <w:rFonts w:ascii="Arial" w:hAnsi="Arial" w:eastAsia="MS Mincho" w:cs="Arial"/>
        </w:rPr>
        <w:t>.</w:t>
      </w:r>
      <w:r w:rsidRPr="00B712C7" w:rsidR="00245410">
        <w:rPr>
          <w:rFonts w:ascii="Arial" w:hAnsi="Arial" w:eastAsia="MS Mincho" w:cs="Arial"/>
        </w:rPr>
        <w:t xml:space="preserve"> </w:t>
      </w:r>
      <w:r w:rsidRPr="00B712C7" w:rsidR="00BE7147">
        <w:rPr>
          <w:rFonts w:ascii="Arial" w:hAnsi="Arial" w:eastAsia="MS Mincho" w:cs="Arial"/>
        </w:rPr>
        <w:t>The rise in drug offences</w:t>
      </w:r>
      <w:r w:rsidRPr="00B712C7" w:rsidR="0060532C">
        <w:rPr>
          <w:rFonts w:ascii="Arial" w:hAnsi="Arial" w:eastAsia="MS Mincho" w:cs="Arial"/>
        </w:rPr>
        <w:t xml:space="preserve"> </w:t>
      </w:r>
      <w:r w:rsidRPr="00B712C7" w:rsidR="00281E23">
        <w:rPr>
          <w:rFonts w:ascii="Arial" w:hAnsi="Arial" w:eastAsia="MS Mincho" w:cs="Arial"/>
        </w:rPr>
        <w:t>was largely</w:t>
      </w:r>
      <w:r w:rsidRPr="00B712C7" w:rsidR="0060532C">
        <w:rPr>
          <w:rFonts w:ascii="Arial" w:hAnsi="Arial" w:eastAsia="MS Mincho" w:cs="Arial"/>
        </w:rPr>
        <w:t xml:space="preserve"> </w:t>
      </w:r>
      <w:r w:rsidRPr="00B712C7" w:rsidR="005D4548">
        <w:rPr>
          <w:rFonts w:ascii="Arial" w:hAnsi="Arial" w:eastAsia="MS Mincho" w:cs="Arial"/>
        </w:rPr>
        <w:t>due to</w:t>
      </w:r>
      <w:r w:rsidRPr="00B712C7" w:rsidR="0054566C">
        <w:rPr>
          <w:rFonts w:ascii="Arial" w:hAnsi="Arial" w:eastAsia="MS Mincho" w:cs="Arial"/>
        </w:rPr>
        <w:t xml:space="preserve"> an increase in the</w:t>
      </w:r>
      <w:r w:rsidRPr="00B712C7" w:rsidR="00245410">
        <w:rPr>
          <w:rFonts w:ascii="Arial" w:hAnsi="Arial" w:eastAsia="MS Mincho" w:cs="Arial"/>
        </w:rPr>
        <w:t xml:space="preserve"> rate of drug use and possession offences</w:t>
      </w:r>
      <w:r w:rsidRPr="00B712C7" w:rsidR="004E1E8B">
        <w:rPr>
          <w:rFonts w:ascii="Arial" w:hAnsi="Arial" w:eastAsia="MS Mincho" w:cs="Arial"/>
        </w:rPr>
        <w:t>, which increased from 196.1 offences per 100,000 population in the year ending March 2011 to 345.9 offences per 100,000 population in the year ending March 2015</w:t>
      </w:r>
      <w:r w:rsidRPr="00B712C7" w:rsidR="00BB69E8">
        <w:rPr>
          <w:rFonts w:ascii="Arial" w:hAnsi="Arial" w:eastAsia="MS Mincho" w:cs="Arial"/>
        </w:rPr>
        <w:t xml:space="preserve"> (Crime Statistics Agency, 2015a)</w:t>
      </w:r>
      <w:r w:rsidRPr="00B712C7" w:rsidR="004E1E8B">
        <w:rPr>
          <w:rFonts w:ascii="Arial" w:hAnsi="Arial" w:eastAsia="MS Mincho" w:cs="Arial"/>
        </w:rPr>
        <w:t xml:space="preserve">. </w:t>
      </w:r>
    </w:p>
    <w:p w:rsidRPr="00B712C7" w:rsidR="00F30C48" w:rsidP="00762568" w:rsidRDefault="00520844" w14:paraId="5DE81FB2" w14:textId="31AD84BA">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Recorded crime statistics, including drug use and possess</w:t>
      </w:r>
      <w:r w:rsidRPr="00B712C7" w:rsidR="00F30C48">
        <w:rPr>
          <w:rFonts w:ascii="Arial" w:hAnsi="Arial" w:eastAsia="MS Mincho" w:cs="Arial"/>
        </w:rPr>
        <w:t>ion statistics, only comprise</w:t>
      </w:r>
      <w:r w:rsidRPr="00B712C7" w:rsidR="005F3FFD">
        <w:rPr>
          <w:rFonts w:ascii="Arial" w:hAnsi="Arial" w:eastAsia="MS Mincho" w:cs="Arial"/>
        </w:rPr>
        <w:t xml:space="preserve"> o</w:t>
      </w:r>
      <w:r w:rsidRPr="00B712C7">
        <w:rPr>
          <w:rFonts w:ascii="Arial" w:hAnsi="Arial" w:eastAsia="MS Mincho" w:cs="Arial"/>
        </w:rPr>
        <w:t xml:space="preserve">ffences that </w:t>
      </w:r>
      <w:r w:rsidRPr="00B712C7" w:rsidR="00912F23">
        <w:rPr>
          <w:rFonts w:ascii="Arial" w:hAnsi="Arial" w:eastAsia="MS Mincho" w:cs="Arial"/>
        </w:rPr>
        <w:t xml:space="preserve">come to the attention of </w:t>
      </w:r>
      <w:r w:rsidRPr="00B712C7" w:rsidR="00BB6ABA">
        <w:rPr>
          <w:rFonts w:ascii="Arial" w:hAnsi="Arial" w:eastAsia="MS Mincho" w:cs="Arial"/>
        </w:rPr>
        <w:t xml:space="preserve">and are recorded by </w:t>
      </w:r>
      <w:r w:rsidRPr="00B712C7" w:rsidR="00912F23">
        <w:rPr>
          <w:rFonts w:ascii="Arial" w:hAnsi="Arial" w:eastAsia="MS Mincho" w:cs="Arial"/>
        </w:rPr>
        <w:t xml:space="preserve">police. Further, police officers </w:t>
      </w:r>
      <w:r w:rsidRPr="00B712C7" w:rsidR="00486537">
        <w:rPr>
          <w:rFonts w:ascii="Arial" w:hAnsi="Arial" w:eastAsia="MS Mincho" w:cs="Arial"/>
        </w:rPr>
        <w:t xml:space="preserve">inevitably </w:t>
      </w:r>
      <w:r w:rsidRPr="00B712C7" w:rsidR="00912F23">
        <w:rPr>
          <w:rFonts w:ascii="Arial" w:hAnsi="Arial" w:eastAsia="MS Mincho" w:cs="Arial"/>
        </w:rPr>
        <w:t xml:space="preserve">apply discretion to determine both whether to record a crime and what to record it as </w:t>
      </w:r>
      <w:r w:rsidRPr="00B712C7" w:rsidR="00681C52">
        <w:rPr>
          <w:rFonts w:ascii="Arial" w:hAnsi="Arial" w:eastAsia="MS Mincho" w:cs="Arial"/>
        </w:rPr>
        <w:t>(Burrows, Tarling and Mackie</w:t>
      </w:r>
      <w:r w:rsidRPr="00B712C7" w:rsidR="00486537">
        <w:rPr>
          <w:rFonts w:ascii="Arial" w:hAnsi="Arial" w:eastAsia="MS Mincho" w:cs="Arial"/>
        </w:rPr>
        <w:t>, 2000</w:t>
      </w:r>
      <w:r w:rsidRPr="00B712C7" w:rsidR="00D74A3A">
        <w:rPr>
          <w:rFonts w:ascii="Arial" w:hAnsi="Arial" w:eastAsia="MS Mincho" w:cs="Arial"/>
        </w:rPr>
        <w:t>; Ombudsman Victoria, 2009</w:t>
      </w:r>
      <w:r w:rsidRPr="00B712C7" w:rsidR="00EC61B8">
        <w:rPr>
          <w:rFonts w:ascii="Arial" w:hAnsi="Arial" w:eastAsia="MS Mincho" w:cs="Arial"/>
        </w:rPr>
        <w:t>)</w:t>
      </w:r>
      <w:r w:rsidRPr="00B712C7">
        <w:rPr>
          <w:rFonts w:ascii="Arial" w:hAnsi="Arial" w:eastAsia="MS Mincho" w:cs="Arial"/>
        </w:rPr>
        <w:t xml:space="preserve">. </w:t>
      </w:r>
      <w:r w:rsidRPr="00B712C7" w:rsidR="00622D0D">
        <w:rPr>
          <w:rFonts w:ascii="Arial" w:hAnsi="Arial" w:eastAsia="MS Mincho" w:cs="Arial"/>
        </w:rPr>
        <w:t xml:space="preserve">Changes in recorded crime statistics over time </w:t>
      </w:r>
      <w:r w:rsidRPr="00B712C7" w:rsidR="00BB6ABA">
        <w:rPr>
          <w:rFonts w:ascii="Arial" w:hAnsi="Arial" w:eastAsia="MS Mincho" w:cs="Arial"/>
        </w:rPr>
        <w:t xml:space="preserve">therefore, may or may not reflect </w:t>
      </w:r>
      <w:r w:rsidRPr="00B712C7" w:rsidR="00622D0D">
        <w:rPr>
          <w:rFonts w:ascii="Arial" w:hAnsi="Arial" w:eastAsia="MS Mincho" w:cs="Arial"/>
        </w:rPr>
        <w:t>similar underlying changes in the</w:t>
      </w:r>
      <w:r w:rsidRPr="00B712C7" w:rsidR="00E82D1A">
        <w:rPr>
          <w:rFonts w:ascii="Arial" w:hAnsi="Arial" w:eastAsia="MS Mincho" w:cs="Arial"/>
        </w:rPr>
        <w:t xml:space="preserve"> actual</w:t>
      </w:r>
      <w:r w:rsidRPr="00B712C7" w:rsidR="00622D0D">
        <w:rPr>
          <w:rFonts w:ascii="Arial" w:hAnsi="Arial" w:eastAsia="MS Mincho" w:cs="Arial"/>
        </w:rPr>
        <w:t xml:space="preserve"> </w:t>
      </w:r>
      <w:r w:rsidRPr="00B712C7" w:rsidR="00FF66D2">
        <w:rPr>
          <w:rFonts w:ascii="Arial" w:hAnsi="Arial" w:eastAsia="MS Mincho" w:cs="Arial"/>
        </w:rPr>
        <w:t>incidence of crimes committed</w:t>
      </w:r>
      <w:r w:rsidRPr="00B712C7" w:rsidR="00FB6DB9">
        <w:rPr>
          <w:rFonts w:ascii="Arial" w:hAnsi="Arial" w:eastAsia="MS Mincho" w:cs="Arial"/>
        </w:rPr>
        <w:t xml:space="preserve"> or in the </w:t>
      </w:r>
      <w:r w:rsidRPr="00B712C7" w:rsidR="00B21061">
        <w:rPr>
          <w:rFonts w:ascii="Arial" w:hAnsi="Arial" w:eastAsia="MS Mincho" w:cs="Arial"/>
        </w:rPr>
        <w:t xml:space="preserve">overall </w:t>
      </w:r>
      <w:r w:rsidRPr="00B712C7" w:rsidR="00FB6DB9">
        <w:rPr>
          <w:rFonts w:ascii="Arial" w:hAnsi="Arial" w:eastAsia="MS Mincho" w:cs="Arial"/>
        </w:rPr>
        <w:t>prevalence of drug use</w:t>
      </w:r>
      <w:r w:rsidRPr="00B712C7" w:rsidR="00622D0D">
        <w:rPr>
          <w:rFonts w:ascii="Arial" w:hAnsi="Arial" w:eastAsia="MS Mincho" w:cs="Arial"/>
        </w:rPr>
        <w:t>. This means that the observed increase in the num</w:t>
      </w:r>
      <w:r w:rsidRPr="00B712C7" w:rsidR="00F30C48">
        <w:rPr>
          <w:rFonts w:ascii="Arial" w:hAnsi="Arial" w:eastAsia="MS Mincho" w:cs="Arial"/>
        </w:rPr>
        <w:t>ber of drug use and possession offence</w:t>
      </w:r>
      <w:r w:rsidRPr="00B712C7" w:rsidR="005867AB">
        <w:rPr>
          <w:rFonts w:ascii="Arial" w:hAnsi="Arial" w:eastAsia="MS Mincho" w:cs="Arial"/>
        </w:rPr>
        <w:t xml:space="preserve">s in Victoria </w:t>
      </w:r>
      <w:r w:rsidRPr="00B712C7" w:rsidR="00E82D1A">
        <w:rPr>
          <w:rFonts w:ascii="Arial" w:hAnsi="Arial" w:eastAsia="MS Mincho" w:cs="Arial"/>
        </w:rPr>
        <w:t>cannot</w:t>
      </w:r>
      <w:r w:rsidRPr="00B712C7" w:rsidR="005867AB">
        <w:rPr>
          <w:rFonts w:ascii="Arial" w:hAnsi="Arial" w:eastAsia="MS Mincho" w:cs="Arial"/>
        </w:rPr>
        <w:t xml:space="preserve"> be interpreted as </w:t>
      </w:r>
      <w:r w:rsidRPr="00B712C7" w:rsidR="00BB6ABA">
        <w:rPr>
          <w:rFonts w:ascii="Arial" w:hAnsi="Arial" w:eastAsia="MS Mincho" w:cs="Arial"/>
        </w:rPr>
        <w:t xml:space="preserve">conclusive proof </w:t>
      </w:r>
      <w:r w:rsidRPr="00B712C7" w:rsidR="00F564D5">
        <w:rPr>
          <w:rFonts w:ascii="Arial" w:hAnsi="Arial" w:eastAsia="MS Mincho" w:cs="Arial"/>
        </w:rPr>
        <w:t xml:space="preserve">that the </w:t>
      </w:r>
      <w:r w:rsidRPr="00B712C7" w:rsidR="005867AB">
        <w:rPr>
          <w:rFonts w:ascii="Arial" w:hAnsi="Arial" w:eastAsia="MS Mincho" w:cs="Arial"/>
        </w:rPr>
        <w:t>prevalence</w:t>
      </w:r>
      <w:r w:rsidRPr="00B712C7" w:rsidR="00F564D5">
        <w:rPr>
          <w:rFonts w:ascii="Arial" w:hAnsi="Arial" w:eastAsia="MS Mincho" w:cs="Arial"/>
        </w:rPr>
        <w:t xml:space="preserve"> of people using or possessing drugs has increased. </w:t>
      </w:r>
    </w:p>
    <w:p w:rsidRPr="00B712C7" w:rsidR="0027321B" w:rsidP="00762568" w:rsidRDefault="00BB6ABA" w14:paraId="6757D11F" w14:textId="7A973A59">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Data from different sources can provide context for interpreting recorded crime statistics. T</w:t>
      </w:r>
      <w:r w:rsidRPr="00B712C7" w:rsidR="0027321B">
        <w:rPr>
          <w:rFonts w:ascii="Arial" w:hAnsi="Arial" w:eastAsia="MS Mincho" w:cs="Arial"/>
        </w:rPr>
        <w:t>he most recent National Drug Strategy House</w:t>
      </w:r>
      <w:r w:rsidRPr="00B712C7" w:rsidR="00986B5A">
        <w:rPr>
          <w:rFonts w:ascii="Arial" w:hAnsi="Arial" w:eastAsia="MS Mincho" w:cs="Arial"/>
        </w:rPr>
        <w:t xml:space="preserve">hold Survey, </w:t>
      </w:r>
      <w:r w:rsidRPr="00B712C7" w:rsidR="0027321B">
        <w:rPr>
          <w:rFonts w:ascii="Arial" w:hAnsi="Arial" w:eastAsia="MS Mincho" w:cs="Arial"/>
        </w:rPr>
        <w:t xml:space="preserve">the only </w:t>
      </w:r>
      <w:r w:rsidRPr="00B712C7" w:rsidR="00B67F57">
        <w:rPr>
          <w:rFonts w:ascii="Arial" w:hAnsi="Arial" w:eastAsia="MS Mincho" w:cs="Arial"/>
        </w:rPr>
        <w:t xml:space="preserve">major </w:t>
      </w:r>
      <w:r w:rsidRPr="00B712C7" w:rsidR="0027321B">
        <w:rPr>
          <w:rFonts w:ascii="Arial" w:hAnsi="Arial" w:eastAsia="MS Mincho" w:cs="Arial"/>
        </w:rPr>
        <w:t xml:space="preserve">survey that examines population level </w:t>
      </w:r>
      <w:r w:rsidRPr="00B712C7" w:rsidR="00B67F57">
        <w:rPr>
          <w:rFonts w:ascii="Arial" w:hAnsi="Arial" w:eastAsia="MS Mincho" w:cs="Arial"/>
        </w:rPr>
        <w:t xml:space="preserve">illicit </w:t>
      </w:r>
      <w:r w:rsidRPr="00B712C7" w:rsidR="0027321B">
        <w:rPr>
          <w:rFonts w:ascii="Arial" w:hAnsi="Arial" w:eastAsia="MS Mincho" w:cs="Arial"/>
        </w:rPr>
        <w:t>drug use across Australia</w:t>
      </w:r>
      <w:r w:rsidRPr="00B712C7" w:rsidR="00986B5A">
        <w:rPr>
          <w:rFonts w:ascii="Arial" w:hAnsi="Arial" w:eastAsia="MS Mincho" w:cs="Arial"/>
        </w:rPr>
        <w:t>,</w:t>
      </w:r>
      <w:r w:rsidRPr="00B712C7" w:rsidR="0027321B">
        <w:rPr>
          <w:rFonts w:ascii="Arial" w:hAnsi="Arial" w:eastAsia="MS Mincho" w:cs="Arial"/>
        </w:rPr>
        <w:t xml:space="preserve"> found that there was no significan</w:t>
      </w:r>
      <w:r w:rsidRPr="00B712C7" w:rsidR="008B50DC">
        <w:rPr>
          <w:rFonts w:ascii="Arial" w:hAnsi="Arial" w:eastAsia="MS Mincho" w:cs="Arial"/>
        </w:rPr>
        <w:t>t change in the proportion</w:t>
      </w:r>
      <w:r w:rsidRPr="00B712C7" w:rsidR="0027321B">
        <w:rPr>
          <w:rFonts w:ascii="Arial" w:hAnsi="Arial" w:eastAsia="MS Mincho" w:cs="Arial"/>
        </w:rPr>
        <w:t xml:space="preserve"> of </w:t>
      </w:r>
      <w:r w:rsidRPr="00B712C7" w:rsidR="0027321B">
        <w:rPr>
          <w:rFonts w:ascii="Arial" w:hAnsi="Arial" w:eastAsia="MS Mincho" w:cs="Arial"/>
        </w:rPr>
        <w:lastRenderedPageBreak/>
        <w:t>Victo</w:t>
      </w:r>
      <w:r w:rsidRPr="00B712C7" w:rsidR="008B50DC">
        <w:rPr>
          <w:rFonts w:ascii="Arial" w:hAnsi="Arial" w:eastAsia="MS Mincho" w:cs="Arial"/>
        </w:rPr>
        <w:t xml:space="preserve">rians who </w:t>
      </w:r>
      <w:r w:rsidRPr="00B712C7" w:rsidR="0027321B">
        <w:rPr>
          <w:rFonts w:ascii="Arial" w:hAnsi="Arial" w:eastAsia="MS Mincho" w:cs="Arial"/>
        </w:rPr>
        <w:t xml:space="preserve">said they had used illicit drugs in the </w:t>
      </w:r>
      <w:r w:rsidRPr="00B712C7" w:rsidR="008B50DC">
        <w:rPr>
          <w:rFonts w:ascii="Arial" w:hAnsi="Arial" w:eastAsia="MS Mincho" w:cs="Arial"/>
        </w:rPr>
        <w:t>past 12 months between the 2010 and the 2013 surveys.</w:t>
      </w:r>
      <w:r w:rsidRPr="00B712C7" w:rsidR="009312B0">
        <w:rPr>
          <w:rFonts w:ascii="Arial" w:hAnsi="Arial" w:eastAsia="MS Mincho" w:cs="Arial"/>
        </w:rPr>
        <w:t xml:space="preserve"> </w:t>
      </w:r>
      <w:r w:rsidRPr="00B712C7" w:rsidR="00B760C8">
        <w:rPr>
          <w:rFonts w:ascii="Arial" w:hAnsi="Arial" w:eastAsia="MS Mincho" w:cs="Arial"/>
        </w:rPr>
        <w:t>Further</w:t>
      </w:r>
      <w:r w:rsidRPr="00B712C7" w:rsidR="00006116">
        <w:rPr>
          <w:rFonts w:ascii="Arial" w:hAnsi="Arial" w:eastAsia="MS Mincho" w:cs="Arial"/>
        </w:rPr>
        <w:t>,</w:t>
      </w:r>
      <w:r w:rsidRPr="00B712C7" w:rsidR="00D400CF">
        <w:rPr>
          <w:rFonts w:ascii="Arial" w:hAnsi="Arial" w:eastAsia="MS Mincho" w:cs="Arial"/>
        </w:rPr>
        <w:t xml:space="preserve"> the survey results show there</w:t>
      </w:r>
      <w:r w:rsidRPr="00B712C7" w:rsidR="00986B5A">
        <w:rPr>
          <w:rFonts w:ascii="Arial" w:hAnsi="Arial" w:eastAsia="MS Mincho" w:cs="Arial"/>
        </w:rPr>
        <w:t xml:space="preserve"> has been very little change </w:t>
      </w:r>
      <w:r w:rsidRPr="00B712C7" w:rsidR="00D400CF">
        <w:rPr>
          <w:rFonts w:ascii="Arial" w:hAnsi="Arial" w:eastAsia="MS Mincho" w:cs="Arial"/>
        </w:rPr>
        <w:t xml:space="preserve">in overall prevalence of drug use </w:t>
      </w:r>
      <w:r w:rsidRPr="00B712C7" w:rsidR="00986B5A">
        <w:rPr>
          <w:rFonts w:ascii="Arial" w:hAnsi="Arial" w:eastAsia="MS Mincho" w:cs="Arial"/>
        </w:rPr>
        <w:t>over the past decade</w:t>
      </w:r>
      <w:r w:rsidRPr="00B712C7" w:rsidR="00BB69E8">
        <w:rPr>
          <w:rFonts w:ascii="Arial" w:hAnsi="Arial" w:eastAsia="MS Mincho" w:cs="Arial"/>
        </w:rPr>
        <w:t xml:space="preserve"> (Australian Institute of Health and Welfare, 2014a)</w:t>
      </w:r>
      <w:r w:rsidRPr="00B712C7" w:rsidR="00281E23">
        <w:rPr>
          <w:rFonts w:ascii="Arial" w:hAnsi="Arial" w:eastAsia="MS Mincho" w:cs="Arial"/>
        </w:rPr>
        <w:t>. This suggests that the increase in recorded drug offences in Victoria is not due to an increase in t</w:t>
      </w:r>
      <w:r w:rsidRPr="00B712C7" w:rsidR="005867AB">
        <w:rPr>
          <w:rFonts w:ascii="Arial" w:hAnsi="Arial" w:eastAsia="MS Mincho" w:cs="Arial"/>
        </w:rPr>
        <w:t>he prevalence</w:t>
      </w:r>
      <w:r w:rsidRPr="00B712C7" w:rsidR="00B67F57">
        <w:rPr>
          <w:rFonts w:ascii="Arial" w:hAnsi="Arial" w:eastAsia="MS Mincho" w:cs="Arial"/>
        </w:rPr>
        <w:t xml:space="preserve"> of people</w:t>
      </w:r>
      <w:r w:rsidRPr="00B712C7" w:rsidR="005867AB">
        <w:rPr>
          <w:rFonts w:ascii="Arial" w:hAnsi="Arial" w:eastAsia="MS Mincho" w:cs="Arial"/>
        </w:rPr>
        <w:t xml:space="preserve"> using drugs. </w:t>
      </w:r>
      <w:r w:rsidRPr="00B712C7" w:rsidR="00F564D5">
        <w:rPr>
          <w:rFonts w:ascii="Arial" w:hAnsi="Arial" w:eastAsia="MS Mincho" w:cs="Arial"/>
        </w:rPr>
        <w:t>I</w:t>
      </w:r>
      <w:r w:rsidRPr="00B712C7" w:rsidR="001C7365">
        <w:rPr>
          <w:rFonts w:ascii="Arial" w:hAnsi="Arial" w:eastAsia="MS Mincho" w:cs="Arial"/>
        </w:rPr>
        <w:t>nstead i</w:t>
      </w:r>
      <w:r w:rsidRPr="00B712C7" w:rsidR="00F564D5">
        <w:rPr>
          <w:rFonts w:ascii="Arial" w:hAnsi="Arial" w:eastAsia="MS Mincho" w:cs="Arial"/>
        </w:rPr>
        <w:t xml:space="preserve">t may </w:t>
      </w:r>
      <w:r w:rsidRPr="00B712C7" w:rsidR="00FA0E89">
        <w:rPr>
          <w:rFonts w:ascii="Arial" w:hAnsi="Arial" w:eastAsia="MS Mincho" w:cs="Arial"/>
        </w:rPr>
        <w:t xml:space="preserve">reflect </w:t>
      </w:r>
      <w:r w:rsidRPr="00B712C7" w:rsidR="005867AB">
        <w:rPr>
          <w:rFonts w:ascii="Arial" w:hAnsi="Arial" w:eastAsia="MS Mincho" w:cs="Arial"/>
        </w:rPr>
        <w:t>increased detec</w:t>
      </w:r>
      <w:r w:rsidRPr="00B712C7" w:rsidR="00FA0E89">
        <w:rPr>
          <w:rFonts w:ascii="Arial" w:hAnsi="Arial" w:eastAsia="MS Mincho" w:cs="Arial"/>
        </w:rPr>
        <w:t>tion of offences by police, or increased</w:t>
      </w:r>
      <w:r w:rsidRPr="00B712C7" w:rsidR="005867AB">
        <w:rPr>
          <w:rFonts w:ascii="Arial" w:hAnsi="Arial" w:eastAsia="MS Mincho" w:cs="Arial"/>
        </w:rPr>
        <w:t xml:space="preserve"> frequency of offendi</w:t>
      </w:r>
      <w:r w:rsidRPr="00B712C7">
        <w:rPr>
          <w:rFonts w:ascii="Arial" w:hAnsi="Arial" w:eastAsia="MS Mincho" w:cs="Arial"/>
        </w:rPr>
        <w:t>ng amongst a discrete group of people</w:t>
      </w:r>
      <w:r w:rsidRPr="00B712C7" w:rsidR="00E82D1A">
        <w:rPr>
          <w:rFonts w:ascii="Arial" w:hAnsi="Arial" w:eastAsia="MS Mincho" w:cs="Arial"/>
        </w:rPr>
        <w:t xml:space="preserve"> who use drugs and come to the attention of police</w:t>
      </w:r>
      <w:r w:rsidRPr="00B712C7" w:rsidR="00FA0E89">
        <w:rPr>
          <w:rFonts w:ascii="Arial" w:hAnsi="Arial" w:eastAsia="MS Mincho" w:cs="Arial"/>
        </w:rPr>
        <w:t xml:space="preserve">. </w:t>
      </w:r>
    </w:p>
    <w:p w:rsidRPr="00B712C7" w:rsidR="00622D0D" w:rsidP="00622D0D" w:rsidRDefault="00F30C48" w14:paraId="75B587AA" w14:textId="3F86ACCE">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A</w:t>
      </w:r>
      <w:r w:rsidRPr="00B712C7" w:rsidR="009312B0">
        <w:rPr>
          <w:rFonts w:ascii="Arial" w:hAnsi="Arial" w:eastAsia="MS Mincho" w:cs="Arial"/>
        </w:rPr>
        <w:t xml:space="preserve">nalysis of </w:t>
      </w:r>
      <w:r w:rsidRPr="00B712C7" w:rsidR="00622D0D">
        <w:rPr>
          <w:rFonts w:ascii="Arial" w:hAnsi="Arial" w:eastAsia="MS Mincho" w:cs="Arial"/>
        </w:rPr>
        <w:t xml:space="preserve">recorded crime data can </w:t>
      </w:r>
      <w:r w:rsidRPr="00B712C7" w:rsidR="00ED566C">
        <w:rPr>
          <w:rFonts w:ascii="Arial" w:hAnsi="Arial" w:eastAsia="MS Mincho" w:cs="Arial"/>
        </w:rPr>
        <w:t xml:space="preserve">usefully </w:t>
      </w:r>
      <w:r w:rsidRPr="00B712C7" w:rsidR="00622D0D">
        <w:rPr>
          <w:rFonts w:ascii="Arial" w:hAnsi="Arial" w:eastAsia="MS Mincho" w:cs="Arial"/>
        </w:rPr>
        <w:t>contribute</w:t>
      </w:r>
      <w:r w:rsidRPr="00B712C7" w:rsidR="007D28B2">
        <w:rPr>
          <w:rFonts w:ascii="Arial" w:hAnsi="Arial" w:eastAsia="MS Mincho" w:cs="Arial"/>
        </w:rPr>
        <w:t xml:space="preserve"> to</w:t>
      </w:r>
      <w:r w:rsidRPr="00B712C7" w:rsidR="00ED566C">
        <w:rPr>
          <w:rFonts w:ascii="Arial" w:hAnsi="Arial" w:eastAsia="MS Mincho" w:cs="Arial"/>
        </w:rPr>
        <w:t xml:space="preserve"> a numbe</w:t>
      </w:r>
      <w:r w:rsidRPr="00B712C7" w:rsidR="009312B0">
        <w:rPr>
          <w:rFonts w:ascii="Arial" w:hAnsi="Arial" w:eastAsia="MS Mincho" w:cs="Arial"/>
        </w:rPr>
        <w:t xml:space="preserve">r of policy and practice issues. For example, it can be used to develop knowledge about the characteristics of drug use and possession offenders, which </w:t>
      </w:r>
      <w:r w:rsidRPr="00B712C7" w:rsidR="007D28B2">
        <w:rPr>
          <w:rFonts w:ascii="Arial" w:hAnsi="Arial" w:eastAsia="MS Mincho" w:cs="Arial"/>
        </w:rPr>
        <w:t>is vita</w:t>
      </w:r>
      <w:r w:rsidRPr="00B712C7" w:rsidR="009312B0">
        <w:rPr>
          <w:rFonts w:ascii="Arial" w:hAnsi="Arial" w:eastAsia="MS Mincho" w:cs="Arial"/>
        </w:rPr>
        <w:t>l to ensure</w:t>
      </w:r>
      <w:r w:rsidRPr="00B712C7" w:rsidR="007D28B2">
        <w:rPr>
          <w:rFonts w:ascii="Arial" w:hAnsi="Arial" w:eastAsia="MS Mincho" w:cs="Arial"/>
        </w:rPr>
        <w:t xml:space="preserve"> </w:t>
      </w:r>
      <w:r w:rsidRPr="00B712C7" w:rsidR="00622D0D">
        <w:rPr>
          <w:rFonts w:ascii="Arial" w:hAnsi="Arial" w:eastAsia="MS Mincho" w:cs="Arial"/>
        </w:rPr>
        <w:t>that prevention strategies and treatment services are evidence-ba</w:t>
      </w:r>
      <w:r w:rsidRPr="00B712C7" w:rsidR="007D28B2">
        <w:rPr>
          <w:rFonts w:ascii="Arial" w:hAnsi="Arial" w:eastAsia="MS Mincho" w:cs="Arial"/>
        </w:rPr>
        <w:t xml:space="preserve">sed and appropriately targeted. </w:t>
      </w:r>
      <w:r w:rsidRPr="00B712C7" w:rsidR="009312B0">
        <w:rPr>
          <w:rFonts w:ascii="Arial" w:hAnsi="Arial" w:eastAsia="MS Mincho" w:cs="Arial"/>
        </w:rPr>
        <w:t>Law enforcement data is of particular relevance in this area given that c</w:t>
      </w:r>
      <w:r w:rsidRPr="00B712C7" w:rsidR="00622D0D">
        <w:rPr>
          <w:rFonts w:ascii="Arial" w:hAnsi="Arial" w:eastAsia="MS Mincho" w:cs="Arial"/>
        </w:rPr>
        <w:t>riminal justice diversion responses, where offenders are diverted away from the criminal justice system into drug and alcohol treatment, make up a considerable share of all drug and alcohol treatment clients in Australia</w:t>
      </w:r>
      <w:r w:rsidRPr="00B712C7" w:rsidR="00BB69E8">
        <w:rPr>
          <w:rFonts w:ascii="Arial" w:hAnsi="Arial" w:eastAsia="MS Mincho" w:cs="Arial"/>
        </w:rPr>
        <w:t xml:space="preserve"> (Australian Institute of Health and Welfare, 2014b)</w:t>
      </w:r>
      <w:r w:rsidRPr="00B712C7" w:rsidR="00622D0D">
        <w:rPr>
          <w:rFonts w:ascii="Arial" w:hAnsi="Arial" w:eastAsia="MS Mincho" w:cs="Arial"/>
        </w:rPr>
        <w:t>.</w:t>
      </w:r>
    </w:p>
    <w:p w:rsidRPr="00B712C7" w:rsidR="00492396" w:rsidP="00762568" w:rsidRDefault="00492396" w14:paraId="5E81482D" w14:textId="20BADFF5">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b/>
        </w:rPr>
      </w:pPr>
      <w:r w:rsidRPr="00B712C7">
        <w:rPr>
          <w:rFonts w:ascii="Arial" w:hAnsi="Arial" w:eastAsia="MS Mincho" w:cs="Arial"/>
          <w:b/>
        </w:rPr>
        <w:t>Aims</w:t>
      </w:r>
    </w:p>
    <w:p w:rsidRPr="00B712C7" w:rsidR="002930FD" w:rsidP="00762568" w:rsidRDefault="007D28B2" w14:paraId="1ACCBE74" w14:textId="162EE3C2">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 xml:space="preserve">This paper is the first in a series of CSA </w:t>
      </w:r>
      <w:r w:rsidRPr="00B712C7" w:rsidR="00151462">
        <w:rPr>
          <w:rFonts w:ascii="Arial" w:hAnsi="Arial" w:eastAsia="MS Mincho" w:cs="Arial"/>
        </w:rPr>
        <w:t xml:space="preserve">research </w:t>
      </w:r>
      <w:r w:rsidRPr="00B712C7">
        <w:rPr>
          <w:rFonts w:ascii="Arial" w:hAnsi="Arial" w:eastAsia="MS Mincho" w:cs="Arial"/>
        </w:rPr>
        <w:t xml:space="preserve">publications that will </w:t>
      </w:r>
      <w:r w:rsidRPr="00B712C7" w:rsidR="00ED566C">
        <w:rPr>
          <w:rFonts w:ascii="Arial" w:hAnsi="Arial" w:eastAsia="MS Mincho" w:cs="Arial"/>
        </w:rPr>
        <w:t>examine</w:t>
      </w:r>
      <w:r w:rsidRPr="00B712C7" w:rsidR="00151462">
        <w:rPr>
          <w:rFonts w:ascii="Arial" w:hAnsi="Arial" w:eastAsia="MS Mincho" w:cs="Arial"/>
        </w:rPr>
        <w:t xml:space="preserve"> </w:t>
      </w:r>
      <w:r w:rsidRPr="00B712C7" w:rsidR="004B7C37">
        <w:rPr>
          <w:rFonts w:ascii="Arial" w:hAnsi="Arial" w:eastAsia="MS Mincho" w:cs="Arial"/>
        </w:rPr>
        <w:t xml:space="preserve">the increase in </w:t>
      </w:r>
      <w:r w:rsidRPr="00B712C7" w:rsidR="00FF66D2">
        <w:rPr>
          <w:rFonts w:ascii="Arial" w:hAnsi="Arial" w:eastAsia="MS Mincho" w:cs="Arial"/>
        </w:rPr>
        <w:t xml:space="preserve">recorded </w:t>
      </w:r>
      <w:r w:rsidRPr="00B712C7" w:rsidR="004B7C37">
        <w:rPr>
          <w:rFonts w:ascii="Arial" w:hAnsi="Arial" w:eastAsia="MS Mincho" w:cs="Arial"/>
        </w:rPr>
        <w:t xml:space="preserve">drug use and possession crime in Victoria. </w:t>
      </w:r>
      <w:r w:rsidRPr="00B712C7" w:rsidR="00F30C48">
        <w:rPr>
          <w:rFonts w:ascii="Arial" w:hAnsi="Arial" w:eastAsia="MS Mincho" w:cs="Arial"/>
        </w:rPr>
        <w:t>The paper</w:t>
      </w:r>
      <w:r w:rsidRPr="00B712C7" w:rsidR="002930FD">
        <w:rPr>
          <w:rFonts w:ascii="Arial" w:hAnsi="Arial" w:eastAsia="MS Mincho" w:cs="Arial"/>
        </w:rPr>
        <w:t xml:space="preserve"> has</w:t>
      </w:r>
      <w:r w:rsidRPr="00B712C7" w:rsidR="00F30C48">
        <w:rPr>
          <w:rFonts w:ascii="Arial" w:hAnsi="Arial" w:eastAsia="MS Mincho" w:cs="Arial"/>
        </w:rPr>
        <w:t xml:space="preserve"> two key aims. The first is to explor</w:t>
      </w:r>
      <w:r w:rsidRPr="00B712C7" w:rsidR="002930FD">
        <w:rPr>
          <w:rFonts w:ascii="Arial" w:hAnsi="Arial" w:eastAsia="MS Mincho" w:cs="Arial"/>
        </w:rPr>
        <w:t>e how the number</w:t>
      </w:r>
      <w:r w:rsidRPr="00B712C7" w:rsidR="00F30C48">
        <w:rPr>
          <w:rFonts w:ascii="Arial" w:hAnsi="Arial" w:eastAsia="MS Mincho" w:cs="Arial"/>
        </w:rPr>
        <w:t xml:space="preserve"> and rate</w:t>
      </w:r>
      <w:r w:rsidRPr="00B712C7" w:rsidR="002930FD">
        <w:rPr>
          <w:rFonts w:ascii="Arial" w:hAnsi="Arial" w:eastAsia="MS Mincho" w:cs="Arial"/>
        </w:rPr>
        <w:t xml:space="preserve"> of recorded drug use and possession offences and offenders has changed over the past ten years. The second is to </w:t>
      </w:r>
      <w:r w:rsidRPr="00B712C7" w:rsidR="00BB6ABA">
        <w:rPr>
          <w:rFonts w:ascii="Arial" w:hAnsi="Arial" w:eastAsia="MS Mincho" w:cs="Arial"/>
        </w:rPr>
        <w:t>describe</w:t>
      </w:r>
      <w:r w:rsidRPr="00B712C7" w:rsidR="002930FD">
        <w:rPr>
          <w:rFonts w:ascii="Arial" w:hAnsi="Arial" w:eastAsia="MS Mincho" w:cs="Arial"/>
        </w:rPr>
        <w:t xml:space="preserve"> the characteristics of these offenders. </w:t>
      </w:r>
    </w:p>
    <w:p w:rsidRPr="00B712C7" w:rsidR="00151462" w:rsidP="00762568" w:rsidRDefault="00F30C48" w14:paraId="528B0404" w14:textId="4BC6725B">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 xml:space="preserve">The paper will use recorded crime data to answer a number of </w:t>
      </w:r>
      <w:r w:rsidRPr="00B712C7" w:rsidR="00ED566C">
        <w:rPr>
          <w:rFonts w:ascii="Arial" w:hAnsi="Arial" w:eastAsia="MS Mincho" w:cs="Arial"/>
        </w:rPr>
        <w:t>exploratory</w:t>
      </w:r>
      <w:r w:rsidRPr="00B712C7" w:rsidR="004B7C37">
        <w:rPr>
          <w:rFonts w:ascii="Arial" w:hAnsi="Arial" w:eastAsia="MS Mincho" w:cs="Arial"/>
        </w:rPr>
        <w:t xml:space="preserve"> research questions</w:t>
      </w:r>
      <w:r w:rsidRPr="00B712C7" w:rsidR="00ED566C">
        <w:rPr>
          <w:rFonts w:ascii="Arial" w:hAnsi="Arial" w:eastAsia="MS Mincho" w:cs="Arial"/>
        </w:rPr>
        <w:t>, including</w:t>
      </w:r>
      <w:r w:rsidRPr="00B712C7" w:rsidR="004B7C37">
        <w:rPr>
          <w:rFonts w:ascii="Arial" w:hAnsi="Arial" w:eastAsia="MS Mincho" w:cs="Arial"/>
        </w:rPr>
        <w:t xml:space="preserve">: </w:t>
      </w:r>
    </w:p>
    <w:p w:rsidRPr="00B712C7" w:rsidR="004B7C37" w:rsidP="00FF66D2" w:rsidRDefault="00703C7C" w14:paraId="7BB1E1AF" w14:textId="30002FB6">
      <w:pPr>
        <w:pStyle w:val="ListParagraph"/>
        <w:widowControl w:val="false"/>
        <w:numPr>
          <w:ilvl w:val="0"/>
          <w:numId w:val="7"/>
        </w:numPr>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How has the</w:t>
      </w:r>
      <w:r w:rsidRPr="00B712C7" w:rsidR="00ED566C">
        <w:rPr>
          <w:rFonts w:ascii="Arial" w:hAnsi="Arial" w:eastAsia="MS Mincho" w:cs="Arial"/>
        </w:rPr>
        <w:t xml:space="preserve"> rate</w:t>
      </w:r>
      <w:r w:rsidRPr="00B712C7" w:rsidR="00FF66D2">
        <w:rPr>
          <w:rFonts w:ascii="Arial" w:hAnsi="Arial" w:eastAsia="MS Mincho" w:cs="Arial"/>
        </w:rPr>
        <w:t xml:space="preserve"> of drug </w:t>
      </w:r>
      <w:r w:rsidRPr="00B712C7" w:rsidR="00ED566C">
        <w:rPr>
          <w:rFonts w:ascii="Arial" w:hAnsi="Arial" w:eastAsia="MS Mincho" w:cs="Arial"/>
        </w:rPr>
        <w:t>use</w:t>
      </w:r>
      <w:r w:rsidRPr="00B712C7">
        <w:rPr>
          <w:rFonts w:ascii="Arial" w:hAnsi="Arial" w:eastAsia="MS Mincho" w:cs="Arial"/>
        </w:rPr>
        <w:t xml:space="preserve"> and possession offences changed over the past ten years</w:t>
      </w:r>
      <w:r w:rsidRPr="00B712C7" w:rsidR="00FF66D2">
        <w:rPr>
          <w:rFonts w:ascii="Arial" w:hAnsi="Arial" w:eastAsia="MS Mincho" w:cs="Arial"/>
        </w:rPr>
        <w:t xml:space="preserve">? </w:t>
      </w:r>
    </w:p>
    <w:p w:rsidRPr="00B712C7" w:rsidR="00FF66D2" w:rsidP="00FF66D2" w:rsidRDefault="00FF59AC" w14:paraId="106EAFD8" w14:textId="576EF4C8">
      <w:pPr>
        <w:pStyle w:val="ListParagraph"/>
        <w:widowControl w:val="false"/>
        <w:numPr>
          <w:ilvl w:val="0"/>
          <w:numId w:val="7"/>
        </w:numPr>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 xml:space="preserve">Has the </w:t>
      </w:r>
      <w:r w:rsidRPr="00B712C7" w:rsidR="00ED566C">
        <w:rPr>
          <w:rFonts w:ascii="Arial" w:hAnsi="Arial" w:eastAsia="MS Mincho" w:cs="Arial"/>
        </w:rPr>
        <w:t>rate</w:t>
      </w:r>
      <w:r w:rsidRPr="00B712C7">
        <w:rPr>
          <w:rFonts w:ascii="Arial" w:hAnsi="Arial" w:eastAsia="MS Mincho" w:cs="Arial"/>
        </w:rPr>
        <w:t xml:space="preserve"> of individual offenders recorded by police for drug us</w:t>
      </w:r>
      <w:r w:rsidRPr="00B712C7" w:rsidR="00703C7C">
        <w:rPr>
          <w:rFonts w:ascii="Arial" w:hAnsi="Arial" w:eastAsia="MS Mincho" w:cs="Arial"/>
        </w:rPr>
        <w:t>e and possession offences also changed, and if so, to what extent</w:t>
      </w:r>
      <w:r w:rsidRPr="00B712C7">
        <w:rPr>
          <w:rFonts w:ascii="Arial" w:hAnsi="Arial" w:eastAsia="MS Mincho" w:cs="Arial"/>
        </w:rPr>
        <w:t xml:space="preserve">? </w:t>
      </w:r>
    </w:p>
    <w:p w:rsidRPr="00B712C7" w:rsidR="00FF59AC" w:rsidP="00FF66D2" w:rsidRDefault="00703C7C" w14:paraId="6F554402" w14:textId="3D9BD391">
      <w:pPr>
        <w:pStyle w:val="ListParagraph"/>
        <w:widowControl w:val="false"/>
        <w:numPr>
          <w:ilvl w:val="0"/>
          <w:numId w:val="7"/>
        </w:numPr>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 xml:space="preserve">What is the level of repeat </w:t>
      </w:r>
      <w:r w:rsidRPr="00B712C7" w:rsidR="009312B0">
        <w:rPr>
          <w:rFonts w:ascii="Arial" w:hAnsi="Arial" w:eastAsia="MS Mincho" w:cs="Arial"/>
        </w:rPr>
        <w:t>drug use and possession offending amongst offenders?</w:t>
      </w:r>
    </w:p>
    <w:p w:rsidRPr="00B712C7" w:rsidR="00FF59AC" w:rsidP="00FF66D2" w:rsidRDefault="00FF59AC" w14:paraId="14AFA60D" w14:textId="625F703D">
      <w:pPr>
        <w:pStyle w:val="ListParagraph"/>
        <w:widowControl w:val="false"/>
        <w:numPr>
          <w:ilvl w:val="0"/>
          <w:numId w:val="7"/>
        </w:numPr>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 xml:space="preserve">What are the demographic characteristics of drug use and possession offenders? </w:t>
      </w:r>
    </w:p>
    <w:p w:rsidRPr="00B712C7" w:rsidR="00703C7C" w:rsidP="00703C7C" w:rsidRDefault="00703C7C" w14:paraId="36DC7086" w14:textId="1168D054">
      <w:pPr>
        <w:pStyle w:val="ListParagraph"/>
        <w:widowControl w:val="false"/>
        <w:numPr>
          <w:ilvl w:val="0"/>
          <w:numId w:val="7"/>
        </w:numPr>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Do repeat offenders differ from one-off drug use and possession offenders in terms of their demographic characteristics?</w:t>
      </w:r>
    </w:p>
    <w:p w:rsidRPr="00B712C7" w:rsidR="00703C7C" w:rsidP="00762568" w:rsidRDefault="00703C7C" w14:paraId="0FA285A0" w14:textId="6A633BCC">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 xml:space="preserve">Future publications in this series will </w:t>
      </w:r>
      <w:r w:rsidRPr="00B712C7" w:rsidR="009312B0">
        <w:rPr>
          <w:rFonts w:ascii="Arial" w:hAnsi="Arial" w:eastAsia="MS Mincho" w:cs="Arial"/>
        </w:rPr>
        <w:t xml:space="preserve">go on to </w:t>
      </w:r>
      <w:r w:rsidRPr="00B712C7">
        <w:rPr>
          <w:rFonts w:ascii="Arial" w:hAnsi="Arial" w:eastAsia="MS Mincho" w:cs="Arial"/>
        </w:rPr>
        <w:t xml:space="preserve">consider: </w:t>
      </w:r>
    </w:p>
    <w:p w:rsidRPr="00B712C7" w:rsidR="00703C7C" w:rsidP="00703C7C" w:rsidRDefault="00BE7147" w14:paraId="37E42A5D" w14:textId="071A4CA5">
      <w:pPr>
        <w:pStyle w:val="ListParagraph"/>
        <w:widowControl w:val="false"/>
        <w:numPr>
          <w:ilvl w:val="0"/>
          <w:numId w:val="7"/>
        </w:numPr>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w</w:t>
      </w:r>
      <w:r w:rsidRPr="00B712C7" w:rsidR="00703C7C">
        <w:rPr>
          <w:rFonts w:ascii="Arial" w:hAnsi="Arial" w:eastAsia="MS Mincho" w:cs="Arial"/>
        </w:rPr>
        <w:t>hether the rate of drug use and possession crime differs across geographic areas of Victoria, for example, across metropol</w:t>
      </w:r>
      <w:r w:rsidRPr="00B712C7">
        <w:rPr>
          <w:rFonts w:ascii="Arial" w:hAnsi="Arial" w:eastAsia="MS Mincho" w:cs="Arial"/>
        </w:rPr>
        <w:t>itan, regional and rural areas</w:t>
      </w:r>
    </w:p>
    <w:p w:rsidRPr="00B712C7" w:rsidR="00703C7C" w:rsidP="00703C7C" w:rsidRDefault="00BE7147" w14:paraId="25833DE0" w14:textId="338D8ACD">
      <w:pPr>
        <w:pStyle w:val="ListParagraph"/>
        <w:widowControl w:val="false"/>
        <w:numPr>
          <w:ilvl w:val="0"/>
          <w:numId w:val="7"/>
        </w:numPr>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t</w:t>
      </w:r>
      <w:r w:rsidRPr="00B712C7" w:rsidR="00703C7C">
        <w:rPr>
          <w:rFonts w:ascii="Arial" w:hAnsi="Arial" w:eastAsia="MS Mincho" w:cs="Arial"/>
        </w:rPr>
        <w:t xml:space="preserve">he type(s) of drugs used and </w:t>
      </w:r>
      <w:r w:rsidRPr="00B712C7">
        <w:rPr>
          <w:rFonts w:ascii="Arial" w:hAnsi="Arial" w:eastAsia="MS Mincho" w:cs="Arial"/>
        </w:rPr>
        <w:t>possessed by recorded offenders</w:t>
      </w:r>
    </w:p>
    <w:p w:rsidRPr="00B712C7" w:rsidR="00703C7C" w:rsidP="00703C7C" w:rsidRDefault="00BE7147" w14:paraId="20B6E80B" w14:textId="4762FD1B">
      <w:pPr>
        <w:pStyle w:val="ListParagraph"/>
        <w:widowControl w:val="false"/>
        <w:numPr>
          <w:ilvl w:val="0"/>
          <w:numId w:val="7"/>
        </w:numPr>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t</w:t>
      </w:r>
      <w:r w:rsidRPr="00B712C7" w:rsidR="00703C7C">
        <w:rPr>
          <w:rFonts w:ascii="Arial" w:hAnsi="Arial" w:eastAsia="MS Mincho" w:cs="Arial"/>
        </w:rPr>
        <w:t xml:space="preserve">he extent to which drug use and possession offenders also commit other types of crime, and what </w:t>
      </w:r>
      <w:r w:rsidRPr="00B712C7" w:rsidR="009312B0">
        <w:rPr>
          <w:rFonts w:ascii="Arial" w:hAnsi="Arial" w:eastAsia="MS Mincho" w:cs="Arial"/>
        </w:rPr>
        <w:t xml:space="preserve">other </w:t>
      </w:r>
      <w:r w:rsidRPr="00B712C7">
        <w:rPr>
          <w:rFonts w:ascii="Arial" w:hAnsi="Arial" w:eastAsia="MS Mincho" w:cs="Arial"/>
        </w:rPr>
        <w:t>types of crime they commit</w:t>
      </w:r>
    </w:p>
    <w:p w:rsidRPr="00B712C7" w:rsidR="00381975" w:rsidP="001C7365" w:rsidRDefault="00BE7147" w14:paraId="376C1FA6" w14:textId="597A68F0">
      <w:pPr>
        <w:pStyle w:val="ListParagraph"/>
        <w:widowControl w:val="false"/>
        <w:numPr>
          <w:ilvl w:val="0"/>
          <w:numId w:val="7"/>
        </w:numPr>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w</w:t>
      </w:r>
      <w:r w:rsidRPr="00B712C7" w:rsidR="00703C7C">
        <w:rPr>
          <w:rFonts w:ascii="Arial" w:hAnsi="Arial" w:eastAsia="MS Mincho" w:cs="Arial"/>
        </w:rPr>
        <w:t xml:space="preserve">hat police action is taken against </w:t>
      </w:r>
      <w:r w:rsidRPr="00B712C7" w:rsidR="009312B0">
        <w:rPr>
          <w:rFonts w:ascii="Arial" w:hAnsi="Arial" w:eastAsia="MS Mincho" w:cs="Arial"/>
        </w:rPr>
        <w:t>offenders recorded fo</w:t>
      </w:r>
      <w:r w:rsidRPr="00B712C7" w:rsidR="00022F78">
        <w:rPr>
          <w:rFonts w:ascii="Arial" w:hAnsi="Arial" w:eastAsia="MS Mincho" w:cs="Arial"/>
        </w:rPr>
        <w:t>r drug use and possession offences</w:t>
      </w:r>
      <w:r w:rsidRPr="00B712C7" w:rsidR="009312B0">
        <w:rPr>
          <w:rFonts w:ascii="Arial" w:hAnsi="Arial" w:eastAsia="MS Mincho" w:cs="Arial"/>
        </w:rPr>
        <w:t xml:space="preserve">. </w:t>
      </w:r>
      <w:r w:rsidRPr="00B712C7" w:rsidR="00703C7C">
        <w:rPr>
          <w:rFonts w:ascii="Arial" w:hAnsi="Arial" w:eastAsia="MS Mincho" w:cs="Arial"/>
        </w:rPr>
        <w:t xml:space="preserve"> </w:t>
      </w:r>
    </w:p>
    <w:p w:rsidRPr="00B712C7" w:rsidR="00381975" w:rsidP="0060532C" w:rsidRDefault="00381975" w14:paraId="4A06E5EA" w14:textId="77777777">
      <w:pPr>
        <w:pStyle w:val="ListParagraph"/>
        <w:widowControl w:val="false"/>
        <w:suppressAutoHyphens/>
        <w:autoSpaceDE w:val="false"/>
        <w:autoSpaceDN w:val="false"/>
        <w:adjustRightInd w:val="false"/>
        <w:spacing w:before="170" w:after="57" w:line="300" w:lineRule="atLeast"/>
        <w:ind w:left="-567"/>
        <w:textAlignment w:val="center"/>
        <w:outlineLvl w:val="2"/>
        <w:rPr>
          <w:rFonts w:ascii="Arial" w:hAnsi="Arial" w:eastAsia="MS Mincho" w:cs="Arial"/>
          <w:color w:val="808080"/>
          <w:sz w:val="26"/>
          <w:szCs w:val="26"/>
          <w:lang w:val="en-GB"/>
        </w:rPr>
      </w:pPr>
    </w:p>
    <w:p w:rsidRPr="00B712C7" w:rsidR="00651DCB" w:rsidP="0060532C" w:rsidRDefault="00651DCB" w14:paraId="272F90A9" w14:textId="77777777">
      <w:pPr>
        <w:pStyle w:val="ListParagraph"/>
        <w:widowControl w:val="false"/>
        <w:suppressAutoHyphens/>
        <w:autoSpaceDE w:val="false"/>
        <w:autoSpaceDN w:val="false"/>
        <w:adjustRightInd w:val="false"/>
        <w:spacing w:before="170" w:after="57" w:line="300" w:lineRule="atLeast"/>
        <w:ind w:left="-567"/>
        <w:textAlignment w:val="center"/>
        <w:outlineLvl w:val="2"/>
        <w:rPr>
          <w:rFonts w:ascii="Arial" w:hAnsi="Arial" w:eastAsia="MS Mincho" w:cs="Arial"/>
          <w:color w:val="808080"/>
          <w:sz w:val="26"/>
          <w:szCs w:val="26"/>
          <w:lang w:val="en-GB"/>
        </w:rPr>
      </w:pPr>
    </w:p>
    <w:p w:rsidR="00B712C7" w:rsidP="000D2F7B" w:rsidRDefault="00B712C7" w14:paraId="3AB0171C" w14:textId="77777777">
      <w:pPr>
        <w:pStyle w:val="ListParagraph"/>
        <w:widowControl w:val="false"/>
        <w:suppressAutoHyphens/>
        <w:autoSpaceDE w:val="false"/>
        <w:autoSpaceDN w:val="false"/>
        <w:adjustRightInd w:val="false"/>
        <w:spacing w:before="170" w:after="57" w:line="300" w:lineRule="atLeast"/>
        <w:ind w:left="-567" w:firstLine="567"/>
        <w:textAlignment w:val="center"/>
        <w:outlineLvl w:val="2"/>
        <w:rPr>
          <w:rFonts w:ascii="Arial" w:hAnsi="Arial" w:eastAsia="MS Mincho" w:cs="Arial"/>
          <w:color w:val="808080"/>
          <w:sz w:val="26"/>
          <w:szCs w:val="26"/>
          <w:lang w:val="en-GB"/>
        </w:rPr>
      </w:pPr>
    </w:p>
    <w:p w:rsidR="00B712C7" w:rsidP="000D2F7B" w:rsidRDefault="00B712C7" w14:paraId="10736AC3" w14:textId="77777777">
      <w:pPr>
        <w:pStyle w:val="ListParagraph"/>
        <w:widowControl w:val="false"/>
        <w:suppressAutoHyphens/>
        <w:autoSpaceDE w:val="false"/>
        <w:autoSpaceDN w:val="false"/>
        <w:adjustRightInd w:val="false"/>
        <w:spacing w:before="170" w:after="57" w:line="300" w:lineRule="atLeast"/>
        <w:ind w:left="-567" w:firstLine="567"/>
        <w:textAlignment w:val="center"/>
        <w:outlineLvl w:val="2"/>
        <w:rPr>
          <w:rFonts w:ascii="Arial" w:hAnsi="Arial" w:eastAsia="MS Mincho" w:cs="Arial"/>
          <w:color w:val="808080"/>
          <w:sz w:val="26"/>
          <w:szCs w:val="26"/>
          <w:lang w:val="en-GB"/>
        </w:rPr>
      </w:pPr>
    </w:p>
    <w:p w:rsidRPr="00B712C7" w:rsidR="00C67A15" w:rsidP="000D2F7B" w:rsidRDefault="00762568" w14:paraId="39A4B1DE" w14:textId="016B86AA">
      <w:pPr>
        <w:pStyle w:val="ListParagraph"/>
        <w:widowControl w:val="false"/>
        <w:suppressAutoHyphens/>
        <w:autoSpaceDE w:val="false"/>
        <w:autoSpaceDN w:val="false"/>
        <w:adjustRightInd w:val="false"/>
        <w:spacing w:before="170" w:after="57" w:line="300" w:lineRule="atLeast"/>
        <w:ind w:left="-567" w:firstLine="567"/>
        <w:textAlignment w:val="center"/>
        <w:outlineLvl w:val="2"/>
        <w:rPr>
          <w:rFonts w:ascii="Arial" w:hAnsi="Arial" w:eastAsia="MS Mincho" w:cs="Arial"/>
          <w:color w:val="808080"/>
          <w:sz w:val="26"/>
          <w:szCs w:val="26"/>
          <w:lang w:val="en-GB"/>
        </w:rPr>
      </w:pPr>
      <w:r w:rsidRPr="00B712C7">
        <w:rPr>
          <w:rFonts w:ascii="Arial" w:hAnsi="Arial" w:eastAsia="MS Mincho" w:cs="Arial"/>
          <w:color w:val="808080"/>
          <w:sz w:val="26"/>
          <w:szCs w:val="26"/>
          <w:lang w:val="en-GB"/>
        </w:rPr>
        <w:lastRenderedPageBreak/>
        <w:t>Method</w:t>
      </w:r>
    </w:p>
    <w:p w:rsidRPr="00B712C7" w:rsidR="000E4AB3" w:rsidP="00762568" w:rsidRDefault="000E4AB3" w14:paraId="309E90FD" w14:textId="4E2D0F2E">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b/>
        </w:rPr>
      </w:pPr>
      <w:r w:rsidRPr="00B712C7">
        <w:rPr>
          <w:rFonts w:ascii="Arial" w:hAnsi="Arial" w:eastAsia="MS Mincho" w:cs="Arial"/>
          <w:b/>
        </w:rPr>
        <w:t>Data</w:t>
      </w:r>
    </w:p>
    <w:p w:rsidR="00B712C7" w:rsidP="00B712C7" w:rsidRDefault="000E4AB3" w14:paraId="677B53C3" w14:textId="55DE006B">
      <w:pPr>
        <w:widowControl w:val="false"/>
        <w:suppressAutoHyphens/>
        <w:autoSpaceDE w:val="false"/>
        <w:autoSpaceDN w:val="false"/>
        <w:adjustRightInd w:val="false"/>
        <w:spacing w:before="170" w:after="57" w:line="300" w:lineRule="atLeast"/>
        <w:jc w:val="both"/>
        <w:textAlignment w:val="center"/>
        <w:outlineLvl w:val="2"/>
        <w:rPr>
          <w:rFonts w:ascii="Arial" w:hAnsi="Arial" w:eastAsia="MS Mincho" w:cs="Arial"/>
        </w:rPr>
      </w:pPr>
      <w:r w:rsidRPr="00B712C7">
        <w:rPr>
          <w:rFonts w:ascii="Arial" w:hAnsi="Arial" w:eastAsia="MS Mincho" w:cs="Arial"/>
        </w:rPr>
        <w:t>This study used</w:t>
      </w:r>
      <w:r w:rsidRPr="00B712C7" w:rsidR="00B03F1E">
        <w:rPr>
          <w:rFonts w:ascii="Arial" w:hAnsi="Arial" w:eastAsia="MS Mincho" w:cs="Arial"/>
        </w:rPr>
        <w:t xml:space="preserve"> </w:t>
      </w:r>
      <w:r w:rsidRPr="00B712C7" w:rsidR="00261772">
        <w:rPr>
          <w:rFonts w:ascii="Arial" w:hAnsi="Arial" w:eastAsia="MS Mincho" w:cs="Arial"/>
        </w:rPr>
        <w:t>Victoria P</w:t>
      </w:r>
      <w:r w:rsidRPr="00B712C7" w:rsidR="00B03F1E">
        <w:rPr>
          <w:rFonts w:ascii="Arial" w:hAnsi="Arial" w:eastAsia="MS Mincho" w:cs="Arial"/>
        </w:rPr>
        <w:t>olice recorded crime data</w:t>
      </w:r>
      <w:r w:rsidRPr="00B712C7" w:rsidR="00997DDB">
        <w:rPr>
          <w:rFonts w:ascii="Arial" w:hAnsi="Arial" w:eastAsia="MS Mincho" w:cs="Arial"/>
        </w:rPr>
        <w:t xml:space="preserve"> extracted from the</w:t>
      </w:r>
      <w:r w:rsidRPr="00B712C7" w:rsidR="0033127E">
        <w:rPr>
          <w:rFonts w:ascii="Arial" w:hAnsi="Arial" w:eastAsia="MS Mincho" w:cs="Arial"/>
        </w:rPr>
        <w:t>ir Law Enforcement Assistance Program</w:t>
      </w:r>
      <w:r w:rsidRPr="00B712C7" w:rsidR="00997DDB">
        <w:rPr>
          <w:rFonts w:ascii="Arial" w:hAnsi="Arial" w:eastAsia="MS Mincho" w:cs="Arial"/>
        </w:rPr>
        <w:t xml:space="preserve"> </w:t>
      </w:r>
      <w:r w:rsidRPr="00B712C7" w:rsidR="0033127E">
        <w:rPr>
          <w:rFonts w:ascii="Arial" w:hAnsi="Arial" w:eastAsia="MS Mincho" w:cs="Arial"/>
        </w:rPr>
        <w:t>(</w:t>
      </w:r>
      <w:r w:rsidRPr="00B712C7" w:rsidR="00997DDB">
        <w:rPr>
          <w:rFonts w:ascii="Arial" w:hAnsi="Arial" w:eastAsia="MS Mincho" w:cs="Arial"/>
        </w:rPr>
        <w:t>LEAP</w:t>
      </w:r>
      <w:r w:rsidRPr="00B712C7" w:rsidR="0033127E">
        <w:rPr>
          <w:rFonts w:ascii="Arial" w:hAnsi="Arial" w:eastAsia="MS Mincho" w:cs="Arial"/>
        </w:rPr>
        <w:t>)</w:t>
      </w:r>
      <w:r w:rsidRPr="00B712C7" w:rsidR="00997DDB">
        <w:rPr>
          <w:rFonts w:ascii="Arial" w:hAnsi="Arial" w:eastAsia="MS Mincho" w:cs="Arial"/>
        </w:rPr>
        <w:t xml:space="preserve"> database. </w:t>
      </w:r>
      <w:r w:rsidRPr="00B712C7" w:rsidR="00D56A7C">
        <w:rPr>
          <w:rFonts w:ascii="Arial" w:hAnsi="Arial" w:eastAsia="MS Mincho" w:cs="Arial"/>
        </w:rPr>
        <w:t xml:space="preserve">The CSA’s offence classification was used to identify offences for inclusion in this study (Crime Statistics Agency, 2015b). </w:t>
      </w:r>
      <w:r w:rsidRPr="00B712C7" w:rsidR="006005C0">
        <w:rPr>
          <w:rFonts w:ascii="Arial" w:hAnsi="Arial" w:eastAsia="MS Mincho" w:cs="Arial"/>
        </w:rPr>
        <w:t>T</w:t>
      </w:r>
      <w:r w:rsidRPr="00B712C7" w:rsidR="00BB6ABA">
        <w:rPr>
          <w:rFonts w:ascii="Arial" w:hAnsi="Arial" w:eastAsia="MS Mincho" w:cs="Arial"/>
        </w:rPr>
        <w:t xml:space="preserve">he dataset for this study comprised </w:t>
      </w:r>
      <w:r w:rsidRPr="00B712C7" w:rsidR="00D56A7C">
        <w:rPr>
          <w:rFonts w:ascii="Arial" w:hAnsi="Arial" w:eastAsia="MS Mincho" w:cs="Arial"/>
        </w:rPr>
        <w:t xml:space="preserve">all offences </w:t>
      </w:r>
      <w:r w:rsidRPr="00B712C7" w:rsidR="00BB6ABA">
        <w:rPr>
          <w:rFonts w:ascii="Arial" w:hAnsi="Arial" w:eastAsia="MS Mincho" w:cs="Arial"/>
        </w:rPr>
        <w:t>recorded between 1 January 2005 and 31 December 2014 that fell into the drug use and possession subdivision of the classification.</w:t>
      </w:r>
      <w:r w:rsidRPr="00B712C7" w:rsidR="006005C0">
        <w:rPr>
          <w:rFonts w:ascii="Arial" w:hAnsi="Arial" w:eastAsia="MS Mincho" w:cs="Arial"/>
        </w:rPr>
        <w:t xml:space="preserve"> </w:t>
      </w:r>
      <w:r w:rsidRPr="00B712C7" w:rsidR="00206A15">
        <w:rPr>
          <w:rFonts w:ascii="Arial" w:hAnsi="Arial" w:eastAsia="MS Mincho" w:cs="Arial"/>
        </w:rPr>
        <w:t>A series of different counting units</w:t>
      </w:r>
      <w:r w:rsidRPr="00B712C7" w:rsidR="006005C0">
        <w:rPr>
          <w:rFonts w:ascii="Arial" w:hAnsi="Arial" w:eastAsia="MS Mincho" w:cs="Arial"/>
        </w:rPr>
        <w:t>, outlined in Table 1,</w:t>
      </w:r>
      <w:r w:rsidRPr="00B712C7" w:rsidR="00206A15">
        <w:rPr>
          <w:rFonts w:ascii="Arial" w:hAnsi="Arial" w:eastAsia="MS Mincho" w:cs="Arial"/>
        </w:rPr>
        <w:t xml:space="preserve"> were defined </w:t>
      </w:r>
      <w:r w:rsidRPr="00B712C7" w:rsidR="006005C0">
        <w:rPr>
          <w:rFonts w:ascii="Arial" w:hAnsi="Arial" w:eastAsia="MS Mincho" w:cs="Arial"/>
        </w:rPr>
        <w:t xml:space="preserve">for this study </w:t>
      </w:r>
      <w:r w:rsidRPr="00B712C7" w:rsidR="00206A15">
        <w:rPr>
          <w:rFonts w:ascii="Arial" w:hAnsi="Arial" w:eastAsia="MS Mincho" w:cs="Arial"/>
        </w:rPr>
        <w:t>in order to answer</w:t>
      </w:r>
      <w:r w:rsidRPr="00B712C7" w:rsidR="006005C0">
        <w:rPr>
          <w:rFonts w:ascii="Arial" w:hAnsi="Arial" w:eastAsia="MS Mincho" w:cs="Arial"/>
        </w:rPr>
        <w:t xml:space="preserve"> the research questions.</w:t>
      </w:r>
    </w:p>
    <w:p w:rsidRPr="00B712C7" w:rsidR="00A06EEC" w:rsidP="00B712C7" w:rsidRDefault="00A06EEC" w14:paraId="630ABC34" w14:textId="77777777">
      <w:pPr>
        <w:widowControl w:val="false"/>
        <w:suppressAutoHyphens/>
        <w:autoSpaceDE w:val="false"/>
        <w:autoSpaceDN w:val="false"/>
        <w:adjustRightInd w:val="false"/>
        <w:spacing w:before="170" w:after="57" w:line="300" w:lineRule="atLeast"/>
        <w:jc w:val="both"/>
        <w:textAlignment w:val="center"/>
        <w:outlineLvl w:val="2"/>
        <w:rPr>
          <w:rFonts w:ascii="Arial" w:hAnsi="Arial" w:eastAsia="MS Mincho" w:cs="Arial"/>
        </w:rPr>
      </w:pPr>
    </w:p>
    <w:p w:rsidRPr="00B712C7" w:rsidR="009020A6" w:rsidP="009020A6" w:rsidRDefault="009020A6" w14:paraId="465C2011" w14:textId="68C4BF7A">
      <w:pPr>
        <w:widowControl w:val="false"/>
        <w:suppressAutoHyphens/>
        <w:autoSpaceDE w:val="false"/>
        <w:autoSpaceDN w:val="false"/>
        <w:adjustRightInd w:val="false"/>
        <w:spacing w:before="170" w:after="57" w:line="300" w:lineRule="atLeast"/>
        <w:textAlignment w:val="center"/>
        <w:outlineLvl w:val="2"/>
        <w:rPr>
          <w:rFonts w:ascii="Arial" w:hAnsi="Arial" w:cs="Arial"/>
        </w:rPr>
      </w:pPr>
      <w:r w:rsidRPr="00B712C7">
        <w:rPr>
          <w:rFonts w:ascii="Arial" w:hAnsi="Arial" w:cs="Arial"/>
        </w:rPr>
        <w:t xml:space="preserve">Table 1: </w:t>
      </w:r>
      <w:r w:rsidRPr="00B712C7" w:rsidR="005B6FBE">
        <w:rPr>
          <w:rFonts w:ascii="Arial" w:hAnsi="Arial" w:cs="Arial"/>
        </w:rPr>
        <w:t>Counting unit definitions</w:t>
      </w:r>
      <w:r w:rsidRPr="00B712C7">
        <w:rPr>
          <w:rFonts w:ascii="Arial" w:hAnsi="Arial" w:cs="Arial"/>
        </w:rPr>
        <w:t xml:space="preserve"> </w:t>
      </w:r>
    </w:p>
    <w:tbl>
      <w:tblPr>
        <w:tblStyle w:val="TableGrid"/>
        <w:tblW w:w="0" w:type="auto"/>
        <w:tblLook w:firstRow="1" w:lastRow="0" w:firstColumn="1" w:lastColumn="0" w:noHBand="0" w:noVBand="1" w:val="04A0"/>
      </w:tblPr>
      <w:tblGrid>
        <w:gridCol w:w="2376"/>
        <w:gridCol w:w="6096"/>
      </w:tblGrid>
      <w:tr w:rsidRPr="00B712C7" w:rsidR="00726FF0" w:rsidTr="004A69BE" w14:paraId="493D5697" w14:textId="77777777">
        <w:tc>
          <w:tcPr>
            <w:tcW w:w="2376" w:type="dxa"/>
            <w:tcBorders>
              <w:left w:val="nil"/>
              <w:bottom w:val="single" w:color="auto" w:sz="4" w:space="0"/>
              <w:right w:val="single" w:color="auto" w:sz="4" w:space="0"/>
            </w:tcBorders>
            <w:shd w:val="clear" w:color="auto" w:fill="881E76"/>
            <w:vAlign w:val="center"/>
          </w:tcPr>
          <w:p w:rsidRPr="00B712C7" w:rsidR="00726FF0" w:rsidP="00413B22" w:rsidRDefault="00726FF0" w14:paraId="653C4663" w14:textId="53353C34">
            <w:pPr>
              <w:pStyle w:val="BodyText"/>
              <w:jc w:val="center"/>
              <w:rPr>
                <w:rFonts w:ascii="Arial" w:hAnsi="Arial" w:cs="Arial"/>
                <w:b/>
                <w:color w:val="FFFFFF" w:themeColor="background1"/>
                <w:sz w:val="20"/>
                <w:szCs w:val="20"/>
              </w:rPr>
            </w:pPr>
            <w:r w:rsidRPr="00B712C7">
              <w:rPr>
                <w:rFonts w:ascii="Arial" w:hAnsi="Arial" w:cs="Arial"/>
                <w:b/>
                <w:color w:val="FFFFFF" w:themeColor="background1"/>
                <w:sz w:val="20"/>
                <w:szCs w:val="20"/>
              </w:rPr>
              <w:t>Counting unit</w:t>
            </w:r>
          </w:p>
        </w:tc>
        <w:tc>
          <w:tcPr>
            <w:tcW w:w="6096" w:type="dxa"/>
            <w:tcBorders>
              <w:left w:val="single" w:color="auto" w:sz="4" w:space="0"/>
              <w:bottom w:val="single" w:color="auto" w:sz="4" w:space="0"/>
              <w:right w:val="nil"/>
            </w:tcBorders>
            <w:shd w:val="clear" w:color="auto" w:fill="881E76"/>
            <w:vAlign w:val="center"/>
          </w:tcPr>
          <w:p w:rsidRPr="00B712C7" w:rsidR="00726FF0" w:rsidP="00413B22" w:rsidRDefault="00726FF0" w14:paraId="54653209" w14:textId="7DE11428">
            <w:pPr>
              <w:pStyle w:val="BodyText"/>
              <w:jc w:val="center"/>
              <w:rPr>
                <w:rFonts w:ascii="Arial" w:hAnsi="Arial" w:cs="Arial"/>
                <w:b/>
                <w:color w:val="FFFFFF" w:themeColor="background1"/>
                <w:sz w:val="20"/>
                <w:szCs w:val="20"/>
              </w:rPr>
            </w:pPr>
            <w:r w:rsidRPr="00B712C7">
              <w:rPr>
                <w:rFonts w:ascii="Arial" w:hAnsi="Arial" w:cs="Arial"/>
                <w:b/>
                <w:color w:val="FFFFFF" w:themeColor="background1"/>
                <w:sz w:val="20"/>
                <w:szCs w:val="20"/>
              </w:rPr>
              <w:t>Definition</w:t>
            </w:r>
          </w:p>
        </w:tc>
      </w:tr>
      <w:tr w:rsidRPr="00B712C7" w:rsidR="00726FF0" w:rsidTr="004A69BE" w14:paraId="1D424E97" w14:textId="77777777">
        <w:tc>
          <w:tcPr>
            <w:tcW w:w="2376" w:type="dxa"/>
            <w:tcBorders>
              <w:left w:val="nil"/>
              <w:bottom w:val="nil"/>
              <w:right w:val="single" w:color="auto" w:sz="4" w:space="0"/>
            </w:tcBorders>
            <w:shd w:val="clear" w:color="auto" w:fill="FFFFFF" w:themeFill="background1"/>
            <w:vAlign w:val="center"/>
          </w:tcPr>
          <w:p w:rsidRPr="00B712C7" w:rsidR="00726FF0" w:rsidP="00726FF0" w:rsidRDefault="006005C0" w14:paraId="6E53E291" w14:textId="1244AC65">
            <w:pPr>
              <w:pStyle w:val="BodyTextSpaceAfter"/>
              <w:spacing w:before="60" w:after="60"/>
              <w:rPr>
                <w:rFonts w:ascii="Arial" w:hAnsi="Arial" w:cs="Arial"/>
                <w:color w:val="auto"/>
                <w:sz w:val="20"/>
                <w:szCs w:val="20"/>
              </w:rPr>
            </w:pPr>
            <w:r w:rsidRPr="00B712C7">
              <w:rPr>
                <w:rFonts w:ascii="Arial" w:hAnsi="Arial" w:cs="Arial"/>
                <w:color w:val="auto"/>
                <w:sz w:val="20"/>
                <w:szCs w:val="20"/>
              </w:rPr>
              <w:t>Drug u</w:t>
            </w:r>
            <w:r w:rsidRPr="00B712C7" w:rsidR="00516EBC">
              <w:rPr>
                <w:rFonts w:ascii="Arial" w:hAnsi="Arial" w:cs="Arial"/>
                <w:color w:val="auto"/>
                <w:sz w:val="20"/>
                <w:szCs w:val="20"/>
              </w:rPr>
              <w:t>se and possession o</w:t>
            </w:r>
            <w:r w:rsidRPr="00B712C7" w:rsidR="00726FF0">
              <w:rPr>
                <w:rFonts w:ascii="Arial" w:hAnsi="Arial" w:cs="Arial"/>
                <w:color w:val="auto"/>
                <w:sz w:val="20"/>
                <w:szCs w:val="20"/>
              </w:rPr>
              <w:t xml:space="preserve">ffences </w:t>
            </w:r>
          </w:p>
        </w:tc>
        <w:tc>
          <w:tcPr>
            <w:tcW w:w="6096" w:type="dxa"/>
            <w:tcBorders>
              <w:top w:val="nil"/>
              <w:left w:val="single" w:color="auto" w:sz="4" w:space="0"/>
              <w:bottom w:val="nil"/>
              <w:right w:val="nil"/>
            </w:tcBorders>
            <w:shd w:val="clear" w:color="auto" w:fill="FFFFFF" w:themeFill="background1"/>
            <w:vAlign w:val="center"/>
          </w:tcPr>
          <w:p w:rsidRPr="00B712C7" w:rsidR="00726FF0" w:rsidP="006005C0" w:rsidRDefault="0040391A" w14:paraId="0F3FCA58" w14:textId="06675444">
            <w:pPr>
              <w:pStyle w:val="BodyTextSpaceAfter"/>
              <w:spacing w:before="60" w:after="60"/>
              <w:rPr>
                <w:rFonts w:ascii="Arial" w:hAnsi="Arial" w:cs="Arial"/>
                <w:sz w:val="20"/>
                <w:szCs w:val="20"/>
              </w:rPr>
            </w:pPr>
            <w:r w:rsidRPr="00B712C7">
              <w:rPr>
                <w:rFonts w:ascii="Arial" w:hAnsi="Arial" w:cs="Arial"/>
                <w:sz w:val="20"/>
                <w:szCs w:val="20"/>
              </w:rPr>
              <w:t xml:space="preserve">The number of instances </w:t>
            </w:r>
            <w:r w:rsidRPr="00B712C7" w:rsidR="00FD55EF">
              <w:rPr>
                <w:rFonts w:ascii="Arial" w:hAnsi="Arial" w:cs="Arial"/>
                <w:sz w:val="20"/>
                <w:szCs w:val="20"/>
              </w:rPr>
              <w:t xml:space="preserve">during the </w:t>
            </w:r>
            <w:r w:rsidRPr="00B712C7" w:rsidR="000E4AB3">
              <w:rPr>
                <w:rFonts w:ascii="Arial" w:hAnsi="Arial" w:cs="Arial"/>
                <w:sz w:val="20"/>
                <w:szCs w:val="20"/>
              </w:rPr>
              <w:t xml:space="preserve">relevant </w:t>
            </w:r>
            <w:r w:rsidRPr="00B712C7" w:rsidR="00FD55EF">
              <w:rPr>
                <w:rFonts w:ascii="Arial" w:hAnsi="Arial" w:cs="Arial"/>
                <w:sz w:val="20"/>
                <w:szCs w:val="20"/>
              </w:rPr>
              <w:t xml:space="preserve">reference period </w:t>
            </w:r>
            <w:r w:rsidRPr="00B712C7">
              <w:rPr>
                <w:rFonts w:ascii="Arial" w:hAnsi="Arial" w:cs="Arial"/>
                <w:sz w:val="20"/>
                <w:szCs w:val="20"/>
              </w:rPr>
              <w:t xml:space="preserve">where </w:t>
            </w:r>
            <w:r w:rsidRPr="00B712C7" w:rsidR="006005C0">
              <w:rPr>
                <w:rFonts w:ascii="Arial" w:hAnsi="Arial" w:cs="Arial"/>
                <w:sz w:val="20"/>
                <w:szCs w:val="20"/>
              </w:rPr>
              <w:t xml:space="preserve">a drug use and possession offence </w:t>
            </w:r>
            <w:r w:rsidRPr="00B712C7">
              <w:rPr>
                <w:rFonts w:ascii="Arial" w:hAnsi="Arial" w:cs="Arial"/>
                <w:sz w:val="20"/>
                <w:szCs w:val="20"/>
              </w:rPr>
              <w:t xml:space="preserve">was recorded by Victoria Police. </w:t>
            </w:r>
          </w:p>
        </w:tc>
      </w:tr>
      <w:tr w:rsidRPr="00B712C7" w:rsidR="00726FF0" w:rsidTr="004A69BE" w14:paraId="18572AC4" w14:textId="77777777">
        <w:tc>
          <w:tcPr>
            <w:tcW w:w="2376" w:type="dxa"/>
            <w:tcBorders>
              <w:top w:val="nil"/>
              <w:left w:val="nil"/>
              <w:bottom w:val="nil"/>
              <w:right w:val="single" w:color="auto" w:sz="4" w:space="0"/>
            </w:tcBorders>
            <w:shd w:val="clear" w:color="auto" w:fill="E4D2E2"/>
            <w:vAlign w:val="center"/>
          </w:tcPr>
          <w:p w:rsidRPr="00B712C7" w:rsidR="00726FF0" w:rsidP="00726FF0" w:rsidRDefault="00726FF0" w14:paraId="0FACAC34" w14:textId="1AC30E05">
            <w:pPr>
              <w:pStyle w:val="BodyTextSpaceAfter"/>
              <w:spacing w:before="60" w:after="60"/>
              <w:rPr>
                <w:rFonts w:ascii="Arial" w:hAnsi="Arial" w:cs="Arial"/>
                <w:color w:val="auto"/>
                <w:sz w:val="20"/>
                <w:szCs w:val="20"/>
              </w:rPr>
            </w:pPr>
            <w:r w:rsidRPr="00B712C7">
              <w:rPr>
                <w:rFonts w:ascii="Arial" w:hAnsi="Arial" w:cs="Arial"/>
                <w:color w:val="auto"/>
                <w:sz w:val="20"/>
                <w:szCs w:val="20"/>
              </w:rPr>
              <w:t>Unique offenders</w:t>
            </w:r>
          </w:p>
        </w:tc>
        <w:tc>
          <w:tcPr>
            <w:tcW w:w="6096" w:type="dxa"/>
            <w:tcBorders>
              <w:top w:val="nil"/>
              <w:left w:val="single" w:color="auto" w:sz="4" w:space="0"/>
              <w:bottom w:val="nil"/>
              <w:right w:val="nil"/>
            </w:tcBorders>
            <w:shd w:val="clear" w:color="auto" w:fill="E4D2E2"/>
            <w:vAlign w:val="center"/>
          </w:tcPr>
          <w:p w:rsidRPr="00B712C7" w:rsidR="00726FF0" w:rsidP="006005C0" w:rsidRDefault="00A2266A" w14:paraId="6E56F08C" w14:textId="2F356513">
            <w:pPr>
              <w:pStyle w:val="BodyTextSpaceAfter"/>
              <w:spacing w:before="60" w:after="60"/>
              <w:rPr>
                <w:rFonts w:ascii="Arial" w:hAnsi="Arial" w:cs="Arial"/>
                <w:sz w:val="20"/>
                <w:szCs w:val="20"/>
              </w:rPr>
            </w:pPr>
            <w:r w:rsidRPr="00B712C7">
              <w:rPr>
                <w:rFonts w:ascii="Arial" w:hAnsi="Arial" w:cs="Arial"/>
                <w:sz w:val="20"/>
                <w:szCs w:val="20"/>
              </w:rPr>
              <w:t xml:space="preserve">The number of unique individuals that were recorded by police for at least one of </w:t>
            </w:r>
            <w:r w:rsidRPr="00B712C7" w:rsidR="006005C0">
              <w:rPr>
                <w:rFonts w:ascii="Arial" w:hAnsi="Arial" w:cs="Arial"/>
                <w:sz w:val="20"/>
                <w:szCs w:val="20"/>
              </w:rPr>
              <w:t>drug use and possession offence</w:t>
            </w:r>
            <w:r w:rsidRPr="00B712C7">
              <w:rPr>
                <w:rFonts w:ascii="Arial" w:hAnsi="Arial" w:cs="Arial"/>
                <w:sz w:val="20"/>
                <w:szCs w:val="20"/>
              </w:rPr>
              <w:t xml:space="preserve"> during the</w:t>
            </w:r>
            <w:r w:rsidRPr="00B712C7" w:rsidR="000E4AB3">
              <w:rPr>
                <w:rFonts w:ascii="Arial" w:hAnsi="Arial" w:cs="Arial"/>
                <w:sz w:val="20"/>
                <w:szCs w:val="20"/>
              </w:rPr>
              <w:t xml:space="preserve"> relevant</w:t>
            </w:r>
            <w:r w:rsidRPr="00B712C7">
              <w:rPr>
                <w:rFonts w:ascii="Arial" w:hAnsi="Arial" w:cs="Arial"/>
                <w:sz w:val="20"/>
                <w:szCs w:val="20"/>
              </w:rPr>
              <w:t xml:space="preserve"> </w:t>
            </w:r>
            <w:r w:rsidRPr="00B712C7" w:rsidR="00FD55EF">
              <w:rPr>
                <w:rFonts w:ascii="Arial" w:hAnsi="Arial" w:cs="Arial"/>
                <w:sz w:val="20"/>
                <w:szCs w:val="20"/>
              </w:rPr>
              <w:t xml:space="preserve">reference period. </w:t>
            </w:r>
          </w:p>
        </w:tc>
      </w:tr>
      <w:tr w:rsidRPr="00B712C7" w:rsidR="00726FF0" w:rsidTr="004A69BE" w14:paraId="23965E90" w14:textId="77777777">
        <w:tc>
          <w:tcPr>
            <w:tcW w:w="2376" w:type="dxa"/>
            <w:tcBorders>
              <w:top w:val="nil"/>
              <w:left w:val="nil"/>
              <w:bottom w:val="nil"/>
              <w:right w:val="single" w:color="auto" w:sz="4" w:space="0"/>
            </w:tcBorders>
            <w:shd w:val="clear" w:color="auto" w:fill="FFFFFF" w:themeFill="background1"/>
            <w:vAlign w:val="center"/>
          </w:tcPr>
          <w:p w:rsidRPr="00B712C7" w:rsidR="00726FF0" w:rsidP="00726FF0" w:rsidRDefault="006005C0" w14:paraId="08CABBFF" w14:textId="23D6F165">
            <w:pPr>
              <w:pStyle w:val="BodyTextSpaceAfter"/>
              <w:spacing w:before="60" w:after="60"/>
              <w:rPr>
                <w:rFonts w:ascii="Arial" w:hAnsi="Arial" w:cs="Arial"/>
                <w:color w:val="auto"/>
                <w:sz w:val="20"/>
                <w:szCs w:val="20"/>
              </w:rPr>
            </w:pPr>
            <w:r w:rsidRPr="00B712C7">
              <w:rPr>
                <w:rFonts w:ascii="Arial" w:hAnsi="Arial" w:cs="Arial"/>
                <w:color w:val="auto"/>
                <w:sz w:val="20"/>
                <w:szCs w:val="20"/>
              </w:rPr>
              <w:t>Drug u</w:t>
            </w:r>
            <w:r w:rsidRPr="00B712C7" w:rsidR="00006116">
              <w:rPr>
                <w:rFonts w:ascii="Arial" w:hAnsi="Arial" w:cs="Arial"/>
                <w:color w:val="auto"/>
                <w:sz w:val="20"/>
                <w:szCs w:val="20"/>
              </w:rPr>
              <w:t>se and possession incidents</w:t>
            </w:r>
          </w:p>
        </w:tc>
        <w:tc>
          <w:tcPr>
            <w:tcW w:w="6096" w:type="dxa"/>
            <w:tcBorders>
              <w:top w:val="nil"/>
              <w:left w:val="single" w:color="auto" w:sz="4" w:space="0"/>
              <w:bottom w:val="nil"/>
              <w:right w:val="nil"/>
            </w:tcBorders>
            <w:shd w:val="clear" w:color="auto" w:fill="FFFFFF" w:themeFill="background1"/>
            <w:vAlign w:val="center"/>
          </w:tcPr>
          <w:p w:rsidRPr="00B712C7" w:rsidR="00726FF0" w:rsidP="006005C0" w:rsidRDefault="00A2266A" w14:paraId="649AD97C" w14:textId="4BD14589">
            <w:pPr>
              <w:pStyle w:val="BodyTextSpaceAfter"/>
              <w:spacing w:before="60" w:after="60"/>
              <w:rPr>
                <w:rFonts w:ascii="Arial" w:hAnsi="Arial" w:cs="Arial"/>
                <w:sz w:val="20"/>
                <w:szCs w:val="20"/>
              </w:rPr>
            </w:pPr>
            <w:r w:rsidRPr="00B712C7">
              <w:rPr>
                <w:rFonts w:ascii="Arial" w:hAnsi="Arial" w:cs="Arial"/>
                <w:sz w:val="20"/>
                <w:szCs w:val="20"/>
              </w:rPr>
              <w:t>The number of occasions on which</w:t>
            </w:r>
            <w:r w:rsidRPr="00B712C7" w:rsidR="006F6AF1">
              <w:rPr>
                <w:rFonts w:ascii="Arial" w:hAnsi="Arial" w:cs="Arial"/>
                <w:sz w:val="20"/>
                <w:szCs w:val="20"/>
              </w:rPr>
              <w:t xml:space="preserve"> each offender was recorded</w:t>
            </w:r>
            <w:r w:rsidRPr="00B712C7" w:rsidR="00726FF0">
              <w:rPr>
                <w:rFonts w:ascii="Arial" w:hAnsi="Arial" w:cs="Arial"/>
                <w:sz w:val="20"/>
                <w:szCs w:val="20"/>
              </w:rPr>
              <w:t xml:space="preserve"> by police for at least one </w:t>
            </w:r>
            <w:r w:rsidRPr="00B712C7" w:rsidR="006005C0">
              <w:rPr>
                <w:rFonts w:ascii="Arial" w:hAnsi="Arial" w:cs="Arial"/>
                <w:sz w:val="20"/>
                <w:szCs w:val="20"/>
              </w:rPr>
              <w:t>drug use and possession offence.</w:t>
            </w:r>
            <w:r w:rsidRPr="00B712C7">
              <w:rPr>
                <w:rFonts w:ascii="Arial" w:hAnsi="Arial" w:cs="Arial"/>
                <w:sz w:val="20"/>
                <w:szCs w:val="20"/>
              </w:rPr>
              <w:t xml:space="preserve"> </w:t>
            </w:r>
            <w:r w:rsidRPr="00B712C7" w:rsidR="00726FF0">
              <w:rPr>
                <w:rFonts w:ascii="Arial" w:hAnsi="Arial" w:cs="Arial"/>
                <w:sz w:val="20"/>
                <w:szCs w:val="20"/>
              </w:rPr>
              <w:t xml:space="preserve"> </w:t>
            </w:r>
          </w:p>
        </w:tc>
      </w:tr>
      <w:tr w:rsidRPr="00B712C7" w:rsidR="00726FF0" w:rsidTr="004A69BE" w14:paraId="1ED28CDA" w14:textId="77777777">
        <w:tc>
          <w:tcPr>
            <w:tcW w:w="2376" w:type="dxa"/>
            <w:tcBorders>
              <w:top w:val="nil"/>
              <w:left w:val="nil"/>
              <w:bottom w:val="single" w:color="auto" w:sz="4" w:space="0"/>
              <w:right w:val="single" w:color="auto" w:sz="4" w:space="0"/>
            </w:tcBorders>
            <w:shd w:val="clear" w:color="auto" w:fill="E4D2E2"/>
            <w:vAlign w:val="center"/>
          </w:tcPr>
          <w:p w:rsidRPr="00B712C7" w:rsidR="00726FF0" w:rsidP="00726FF0" w:rsidRDefault="00726FF0" w14:paraId="1B5E6F39" w14:textId="47FD8818">
            <w:pPr>
              <w:pStyle w:val="BodyTextSpaceAfter"/>
              <w:spacing w:before="60" w:after="60"/>
              <w:rPr>
                <w:rFonts w:ascii="Arial" w:hAnsi="Arial" w:cs="Arial"/>
                <w:color w:val="auto"/>
                <w:sz w:val="20"/>
                <w:szCs w:val="20"/>
              </w:rPr>
            </w:pPr>
            <w:r w:rsidRPr="00B712C7">
              <w:rPr>
                <w:rFonts w:ascii="Arial" w:hAnsi="Arial" w:cs="Arial"/>
                <w:color w:val="auto"/>
                <w:sz w:val="20"/>
                <w:szCs w:val="20"/>
              </w:rPr>
              <w:t>Repeat offenders</w:t>
            </w:r>
          </w:p>
        </w:tc>
        <w:tc>
          <w:tcPr>
            <w:tcW w:w="6096" w:type="dxa"/>
            <w:tcBorders>
              <w:top w:val="nil"/>
              <w:left w:val="single" w:color="auto" w:sz="4" w:space="0"/>
              <w:bottom w:val="single" w:color="auto" w:sz="4" w:space="0"/>
              <w:right w:val="nil"/>
            </w:tcBorders>
            <w:shd w:val="clear" w:color="auto" w:fill="E4D2E2"/>
            <w:vAlign w:val="center"/>
          </w:tcPr>
          <w:p w:rsidRPr="00B712C7" w:rsidR="00726FF0" w:rsidP="00726FF0" w:rsidRDefault="00FD55EF" w14:paraId="10DD8F63" w14:textId="36656426">
            <w:pPr>
              <w:pStyle w:val="BodyTextSpaceAfter"/>
              <w:spacing w:before="60" w:after="60"/>
              <w:rPr>
                <w:rFonts w:ascii="Arial" w:hAnsi="Arial" w:cs="Arial"/>
                <w:sz w:val="20"/>
                <w:szCs w:val="20"/>
              </w:rPr>
            </w:pPr>
            <w:r w:rsidRPr="00B712C7">
              <w:rPr>
                <w:rFonts w:ascii="Arial" w:hAnsi="Arial" w:cs="Arial"/>
                <w:sz w:val="20"/>
                <w:szCs w:val="20"/>
              </w:rPr>
              <w:t xml:space="preserve">The number of </w:t>
            </w:r>
            <w:r w:rsidRPr="00B712C7" w:rsidR="000E4AB3">
              <w:rPr>
                <w:rFonts w:ascii="Arial" w:hAnsi="Arial" w:cs="Arial"/>
                <w:sz w:val="20"/>
                <w:szCs w:val="20"/>
              </w:rPr>
              <w:t>o</w:t>
            </w:r>
            <w:r w:rsidRPr="00B712C7" w:rsidR="00726FF0">
              <w:rPr>
                <w:rFonts w:ascii="Arial" w:hAnsi="Arial" w:cs="Arial"/>
                <w:sz w:val="20"/>
                <w:szCs w:val="20"/>
              </w:rPr>
              <w:t>ffenders who were re</w:t>
            </w:r>
            <w:r w:rsidRPr="00B712C7" w:rsidR="00006116">
              <w:rPr>
                <w:rFonts w:ascii="Arial" w:hAnsi="Arial" w:cs="Arial"/>
                <w:sz w:val="20"/>
                <w:szCs w:val="20"/>
              </w:rPr>
              <w:t>corded for more than one</w:t>
            </w:r>
            <w:r w:rsidRPr="00B712C7" w:rsidR="006005C0">
              <w:rPr>
                <w:rFonts w:ascii="Arial" w:hAnsi="Arial" w:cs="Arial"/>
                <w:sz w:val="20"/>
                <w:szCs w:val="20"/>
              </w:rPr>
              <w:t xml:space="preserve"> drug</w:t>
            </w:r>
            <w:r w:rsidRPr="00B712C7" w:rsidR="00006116">
              <w:rPr>
                <w:rFonts w:ascii="Arial" w:hAnsi="Arial" w:cs="Arial"/>
                <w:sz w:val="20"/>
                <w:szCs w:val="20"/>
              </w:rPr>
              <w:t xml:space="preserve"> use and possession</w:t>
            </w:r>
            <w:r w:rsidRPr="00B712C7" w:rsidR="00726FF0">
              <w:rPr>
                <w:rFonts w:ascii="Arial" w:hAnsi="Arial" w:cs="Arial"/>
                <w:sz w:val="20"/>
                <w:szCs w:val="20"/>
              </w:rPr>
              <w:t xml:space="preserve"> incident over the ten year analysis period. </w:t>
            </w:r>
          </w:p>
        </w:tc>
      </w:tr>
    </w:tbl>
    <w:p w:rsidR="00B712C7" w:rsidP="00762568" w:rsidRDefault="00B712C7" w14:paraId="40C2FB49"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p>
    <w:p w:rsidRPr="00B712C7" w:rsidR="009020A6" w:rsidP="00762568" w:rsidRDefault="00206A15" w14:paraId="62A9554E" w14:textId="396125D4">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An example of t</w:t>
      </w:r>
      <w:r w:rsidRPr="00B712C7" w:rsidR="002460AF">
        <w:rPr>
          <w:rFonts w:ascii="Arial" w:hAnsi="Arial" w:eastAsia="MS Mincho" w:cs="Arial"/>
        </w:rPr>
        <w:t>he relationship between each of these counting units is depicted in Figure 1. This diagram represe</w:t>
      </w:r>
      <w:r w:rsidRPr="00B712C7" w:rsidR="00516EBC">
        <w:rPr>
          <w:rFonts w:ascii="Arial" w:hAnsi="Arial" w:eastAsia="MS Mincho" w:cs="Arial"/>
        </w:rPr>
        <w:t>nts one unique offender, with</w:t>
      </w:r>
      <w:r w:rsidRPr="00B712C7" w:rsidR="002460AF">
        <w:rPr>
          <w:rFonts w:ascii="Arial" w:hAnsi="Arial" w:eastAsia="MS Mincho" w:cs="Arial"/>
        </w:rPr>
        <w:t xml:space="preserve"> two </w:t>
      </w:r>
      <w:r w:rsidRPr="00B712C7" w:rsidR="00516EBC">
        <w:rPr>
          <w:rFonts w:ascii="Arial" w:hAnsi="Arial" w:eastAsia="MS Mincho" w:cs="Arial"/>
        </w:rPr>
        <w:t>use and possession</w:t>
      </w:r>
      <w:r w:rsidRPr="00B712C7" w:rsidR="002460AF">
        <w:rPr>
          <w:rFonts w:ascii="Arial" w:hAnsi="Arial" w:eastAsia="MS Mincho" w:cs="Arial"/>
        </w:rPr>
        <w:t xml:space="preserve"> i</w:t>
      </w:r>
      <w:r w:rsidRPr="00B712C7" w:rsidR="00516EBC">
        <w:rPr>
          <w:rFonts w:ascii="Arial" w:hAnsi="Arial" w:eastAsia="MS Mincho" w:cs="Arial"/>
        </w:rPr>
        <w:t>ncidents committed on two different occasions</w:t>
      </w:r>
      <w:r w:rsidRPr="00B712C7" w:rsidR="002460AF">
        <w:rPr>
          <w:rFonts w:ascii="Arial" w:hAnsi="Arial" w:eastAsia="MS Mincho" w:cs="Arial"/>
        </w:rPr>
        <w:t>, each of which involves</w:t>
      </w:r>
      <w:r w:rsidRPr="00B712C7" w:rsidR="00516EBC">
        <w:rPr>
          <w:rFonts w:ascii="Arial" w:hAnsi="Arial" w:eastAsia="MS Mincho" w:cs="Arial"/>
        </w:rPr>
        <w:t xml:space="preserve"> at least one </w:t>
      </w:r>
      <w:r w:rsidRPr="00B712C7" w:rsidR="002460AF">
        <w:rPr>
          <w:rFonts w:ascii="Arial" w:hAnsi="Arial" w:eastAsia="MS Mincho" w:cs="Arial"/>
        </w:rPr>
        <w:t>use and possession offence. For the purpose of this study they would be considered a repeat offend</w:t>
      </w:r>
      <w:r w:rsidRPr="00B712C7" w:rsidR="00006116">
        <w:rPr>
          <w:rFonts w:ascii="Arial" w:hAnsi="Arial" w:eastAsia="MS Mincho" w:cs="Arial"/>
        </w:rPr>
        <w:t>er who has committed two use and possession</w:t>
      </w:r>
      <w:r w:rsidRPr="00B712C7" w:rsidR="002460AF">
        <w:rPr>
          <w:rFonts w:ascii="Arial" w:hAnsi="Arial" w:eastAsia="MS Mincho" w:cs="Arial"/>
        </w:rPr>
        <w:t xml:space="preserve"> incidents with a count of three use and possession offences. </w:t>
      </w:r>
    </w:p>
    <w:p w:rsidR="00B712C7" w:rsidP="002460AF" w:rsidRDefault="00B712C7" w14:paraId="0BCABE1C" w14:textId="77777777">
      <w:pPr>
        <w:widowControl w:val="false"/>
        <w:suppressAutoHyphens/>
        <w:autoSpaceDE w:val="false"/>
        <w:autoSpaceDN w:val="false"/>
        <w:adjustRightInd w:val="false"/>
        <w:spacing w:before="170" w:after="57" w:line="300" w:lineRule="atLeast"/>
        <w:textAlignment w:val="center"/>
        <w:outlineLvl w:val="2"/>
        <w:rPr>
          <w:rFonts w:ascii="Arial" w:hAnsi="Arial" w:cs="Arial"/>
        </w:rPr>
      </w:pPr>
    </w:p>
    <w:p w:rsidR="00B712C7" w:rsidP="002460AF" w:rsidRDefault="00B712C7" w14:paraId="7BEBDFA8" w14:textId="77777777">
      <w:pPr>
        <w:widowControl w:val="false"/>
        <w:suppressAutoHyphens/>
        <w:autoSpaceDE w:val="false"/>
        <w:autoSpaceDN w:val="false"/>
        <w:adjustRightInd w:val="false"/>
        <w:spacing w:before="170" w:after="57" w:line="300" w:lineRule="atLeast"/>
        <w:textAlignment w:val="center"/>
        <w:outlineLvl w:val="2"/>
        <w:rPr>
          <w:rFonts w:ascii="Arial" w:hAnsi="Arial" w:cs="Arial"/>
        </w:rPr>
      </w:pPr>
    </w:p>
    <w:p w:rsidR="00B712C7" w:rsidP="002460AF" w:rsidRDefault="00B712C7" w14:paraId="22F025AC" w14:textId="77777777">
      <w:pPr>
        <w:widowControl w:val="false"/>
        <w:suppressAutoHyphens/>
        <w:autoSpaceDE w:val="false"/>
        <w:autoSpaceDN w:val="false"/>
        <w:adjustRightInd w:val="false"/>
        <w:spacing w:before="170" w:after="57" w:line="300" w:lineRule="atLeast"/>
        <w:textAlignment w:val="center"/>
        <w:outlineLvl w:val="2"/>
        <w:rPr>
          <w:rFonts w:ascii="Arial" w:hAnsi="Arial" w:cs="Arial"/>
        </w:rPr>
      </w:pPr>
    </w:p>
    <w:p w:rsidR="00B712C7" w:rsidP="002460AF" w:rsidRDefault="00B712C7" w14:paraId="71E1F1DA" w14:textId="77777777">
      <w:pPr>
        <w:widowControl w:val="false"/>
        <w:suppressAutoHyphens/>
        <w:autoSpaceDE w:val="false"/>
        <w:autoSpaceDN w:val="false"/>
        <w:adjustRightInd w:val="false"/>
        <w:spacing w:before="170" w:after="57" w:line="300" w:lineRule="atLeast"/>
        <w:textAlignment w:val="center"/>
        <w:outlineLvl w:val="2"/>
        <w:rPr>
          <w:rFonts w:ascii="Arial" w:hAnsi="Arial" w:cs="Arial"/>
        </w:rPr>
      </w:pPr>
    </w:p>
    <w:p w:rsidR="00B712C7" w:rsidP="002460AF" w:rsidRDefault="00B712C7" w14:paraId="04082525" w14:textId="77777777">
      <w:pPr>
        <w:widowControl w:val="false"/>
        <w:suppressAutoHyphens/>
        <w:autoSpaceDE w:val="false"/>
        <w:autoSpaceDN w:val="false"/>
        <w:adjustRightInd w:val="false"/>
        <w:spacing w:before="170" w:after="57" w:line="300" w:lineRule="atLeast"/>
        <w:textAlignment w:val="center"/>
        <w:outlineLvl w:val="2"/>
        <w:rPr>
          <w:rFonts w:ascii="Arial" w:hAnsi="Arial" w:cs="Arial"/>
        </w:rPr>
      </w:pPr>
    </w:p>
    <w:p w:rsidR="00B712C7" w:rsidP="002460AF" w:rsidRDefault="00B712C7" w14:paraId="4785B41D" w14:textId="77777777">
      <w:pPr>
        <w:widowControl w:val="false"/>
        <w:suppressAutoHyphens/>
        <w:autoSpaceDE w:val="false"/>
        <w:autoSpaceDN w:val="false"/>
        <w:adjustRightInd w:val="false"/>
        <w:spacing w:before="170" w:after="57" w:line="300" w:lineRule="atLeast"/>
        <w:textAlignment w:val="center"/>
        <w:outlineLvl w:val="2"/>
        <w:rPr>
          <w:rFonts w:ascii="Arial" w:hAnsi="Arial" w:cs="Arial"/>
        </w:rPr>
      </w:pPr>
    </w:p>
    <w:p w:rsidR="00B712C7" w:rsidP="002460AF" w:rsidRDefault="00B712C7" w14:paraId="6F5B94CC" w14:textId="77777777">
      <w:pPr>
        <w:widowControl w:val="false"/>
        <w:suppressAutoHyphens/>
        <w:autoSpaceDE w:val="false"/>
        <w:autoSpaceDN w:val="false"/>
        <w:adjustRightInd w:val="false"/>
        <w:spacing w:before="170" w:after="57" w:line="300" w:lineRule="atLeast"/>
        <w:textAlignment w:val="center"/>
        <w:outlineLvl w:val="2"/>
        <w:rPr>
          <w:rFonts w:ascii="Arial" w:hAnsi="Arial" w:cs="Arial"/>
        </w:rPr>
      </w:pPr>
    </w:p>
    <w:p w:rsidR="00B712C7" w:rsidP="002460AF" w:rsidRDefault="00B712C7" w14:paraId="27685544" w14:textId="77777777">
      <w:pPr>
        <w:widowControl w:val="false"/>
        <w:suppressAutoHyphens/>
        <w:autoSpaceDE w:val="false"/>
        <w:autoSpaceDN w:val="false"/>
        <w:adjustRightInd w:val="false"/>
        <w:spacing w:before="170" w:after="57" w:line="300" w:lineRule="atLeast"/>
        <w:textAlignment w:val="center"/>
        <w:outlineLvl w:val="2"/>
        <w:rPr>
          <w:rFonts w:ascii="Arial" w:hAnsi="Arial" w:cs="Arial"/>
        </w:rPr>
      </w:pPr>
    </w:p>
    <w:p w:rsidR="00A06EEC" w:rsidP="002460AF" w:rsidRDefault="00A06EEC" w14:paraId="2DE30F87" w14:textId="77777777">
      <w:pPr>
        <w:widowControl w:val="false"/>
        <w:suppressAutoHyphens/>
        <w:autoSpaceDE w:val="false"/>
        <w:autoSpaceDN w:val="false"/>
        <w:adjustRightInd w:val="false"/>
        <w:spacing w:before="170" w:after="57" w:line="300" w:lineRule="atLeast"/>
        <w:textAlignment w:val="center"/>
        <w:outlineLvl w:val="2"/>
        <w:rPr>
          <w:rFonts w:ascii="Arial" w:hAnsi="Arial" w:cs="Arial"/>
        </w:rPr>
      </w:pPr>
    </w:p>
    <w:p w:rsidRPr="00B712C7" w:rsidR="002460AF" w:rsidP="002460AF" w:rsidRDefault="007B7C99" w14:paraId="2A9C8F6D" w14:textId="4A6196EB">
      <w:pPr>
        <w:widowControl w:val="false"/>
        <w:suppressAutoHyphens/>
        <w:autoSpaceDE w:val="false"/>
        <w:autoSpaceDN w:val="false"/>
        <w:adjustRightInd w:val="false"/>
        <w:spacing w:before="170" w:after="57" w:line="300" w:lineRule="atLeast"/>
        <w:textAlignment w:val="center"/>
        <w:outlineLvl w:val="2"/>
        <w:rPr>
          <w:rFonts w:ascii="Arial" w:hAnsi="Arial" w:cs="Arial"/>
        </w:rPr>
      </w:pPr>
      <w:r w:rsidRPr="00B712C7">
        <w:rPr>
          <w:rFonts w:ascii="Arial" w:hAnsi="Arial" w:cs="Arial"/>
        </w:rPr>
        <w:lastRenderedPageBreak/>
        <w:t>Figure 1</w:t>
      </w:r>
      <w:r w:rsidRPr="00B712C7" w:rsidR="002460AF">
        <w:rPr>
          <w:rFonts w:ascii="Arial" w:hAnsi="Arial" w:cs="Arial"/>
        </w:rPr>
        <w:t>: Relationships between counting units</w:t>
      </w:r>
    </w:p>
    <w:p w:rsidRPr="00B712C7" w:rsidR="002460AF" w:rsidP="00762568" w:rsidRDefault="00516EBC" w14:paraId="68FEA76C" w14:textId="2AD7756E">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noProof/>
          <w:lang w:eastAsia="en-AU"/>
        </w:rPr>
        <w:drawing>
          <wp:inline distT="0" distB="0" distL="0" distR="0">
            <wp:extent cx="4841875" cy="3206355"/>
            <wp:effectExtent l="0" t="0" r="0"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8" name="Picture 8"/>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3"/>
                    <pic:cNvPicPr>
                      <a:picLocks noChangeAspect="true" noChangeArrowheads="true"/>
                    </pic:cNvPicPr>
                  </pic:nvPicPr>
                  <pic:blipFill>
                    <a:blip r:embed="rId8">
                      <a:extLst>
                        <a:ext uri="{28A0092B-C50C-407E-A947-70E740481C1C}">
                          <a14:useLocalDpi val="false"/>
                        </a:ext>
                      </a:extLst>
                    </a:blip>
                    <a:srcRect/>
                    <a:stretch>
                      <a:fillRect/>
                    </a:stretch>
                  </pic:blipFill>
                  <pic:spPr bwMode="auto">
                    <a:xfrm>
                      <a:off x="0" y="0"/>
                      <a:ext cx="4854405" cy="3214653"/>
                    </a:xfrm>
                    <a:prstGeom prst="rect">
                      <a:avLst/>
                    </a:prstGeom>
                    <a:noFill/>
                  </pic:spPr>
                </pic:pic>
              </a:graphicData>
            </a:graphic>
          </wp:inline>
        </w:drawing>
      </w:r>
    </w:p>
    <w:p w:rsidRPr="00B712C7" w:rsidR="006F0E4B" w:rsidP="00762568" w:rsidRDefault="006F0E4B" w14:paraId="6D018A99"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p>
    <w:p w:rsidRPr="00B712C7" w:rsidR="00FD55EF" w:rsidP="00762568" w:rsidRDefault="00614996" w14:paraId="6B327073" w14:textId="4CC63932">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 xml:space="preserve">Because the CSA does not hold data on court outcomes associated with offences, references to offences and offenders in this paper refer to alleged rather than proven offences and offenders. It should </w:t>
      </w:r>
      <w:r w:rsidRPr="00B712C7" w:rsidR="00FA0E89">
        <w:rPr>
          <w:rFonts w:ascii="Arial" w:hAnsi="Arial" w:eastAsia="MS Mincho" w:cs="Arial"/>
        </w:rPr>
        <w:t xml:space="preserve">be noted, however, that the vast majority of drug offenders in </w:t>
      </w:r>
      <w:r w:rsidRPr="00B712C7" w:rsidR="00707779">
        <w:rPr>
          <w:rFonts w:ascii="Arial" w:hAnsi="Arial" w:eastAsia="MS Mincho" w:cs="Arial"/>
        </w:rPr>
        <w:t>Victoria either receive a police sanction that requires an admission of guilt</w:t>
      </w:r>
      <w:r w:rsidRPr="00B712C7" w:rsidR="00FD55EF">
        <w:rPr>
          <w:rFonts w:ascii="Arial" w:hAnsi="Arial" w:eastAsia="MS Mincho" w:cs="Arial"/>
        </w:rPr>
        <w:t xml:space="preserve"> or go on to be</w:t>
      </w:r>
      <w:r w:rsidRPr="00B712C7" w:rsidR="00FA0E89">
        <w:rPr>
          <w:rFonts w:ascii="Arial" w:hAnsi="Arial" w:eastAsia="MS Mincho" w:cs="Arial"/>
        </w:rPr>
        <w:t xml:space="preserve"> proven guilty in court</w:t>
      </w:r>
      <w:r w:rsidRPr="00B712C7" w:rsidR="00707779">
        <w:rPr>
          <w:rFonts w:ascii="Arial" w:hAnsi="Arial" w:eastAsia="MS Mincho" w:cs="Arial"/>
        </w:rPr>
        <w:t>, with 92.6% of illicit drug offenders proven guilty in the Victorian Magistrates Court in 2013/14</w:t>
      </w:r>
      <w:r w:rsidRPr="00B712C7" w:rsidR="00BB69E8">
        <w:rPr>
          <w:rFonts w:ascii="Arial" w:hAnsi="Arial" w:eastAsia="MS Mincho" w:cs="Arial"/>
        </w:rPr>
        <w:t xml:space="preserve"> (Australian Bureau of Statistics, 2015)</w:t>
      </w:r>
      <w:r w:rsidRPr="00B712C7" w:rsidR="00707779">
        <w:rPr>
          <w:rFonts w:ascii="Arial" w:hAnsi="Arial" w:eastAsia="MS Mincho" w:cs="Arial"/>
        </w:rPr>
        <w:t>.</w:t>
      </w:r>
      <w:r w:rsidRPr="00B712C7" w:rsidR="00566771">
        <w:rPr>
          <w:rFonts w:ascii="Arial" w:hAnsi="Arial" w:eastAsia="MS Mincho" w:cs="Arial"/>
        </w:rPr>
        <w:t xml:space="preserve"> </w:t>
      </w:r>
      <w:r w:rsidRPr="00B712C7" w:rsidR="002C0D8F">
        <w:rPr>
          <w:rFonts w:ascii="Arial" w:hAnsi="Arial" w:eastAsia="MS Mincho" w:cs="Arial"/>
        </w:rPr>
        <w:t>T</w:t>
      </w:r>
      <w:r w:rsidRPr="00B712C7" w:rsidR="00566771">
        <w:rPr>
          <w:rFonts w:ascii="Arial" w:hAnsi="Arial" w:eastAsia="MS Mincho" w:cs="Arial"/>
        </w:rPr>
        <w:t xml:space="preserve">his paper focuses on drug use and possession crime, and excludes analysis of other crime types offenders may have committed over the course of the ten year analysis period including for example, drug dealing and trafficking. </w:t>
      </w:r>
      <w:r w:rsidRPr="00B712C7" w:rsidR="002C0D8F">
        <w:rPr>
          <w:rFonts w:ascii="Arial" w:hAnsi="Arial" w:eastAsia="MS Mincho" w:cs="Arial"/>
        </w:rPr>
        <w:t xml:space="preserve">The relationship between drug use and possession crime and other crime types will be the subject of future research. </w:t>
      </w:r>
      <w:r w:rsidRPr="00B712C7" w:rsidR="00566771">
        <w:rPr>
          <w:rFonts w:ascii="Arial" w:hAnsi="Arial" w:eastAsia="MS Mincho" w:cs="Arial"/>
        </w:rPr>
        <w:t xml:space="preserve"> </w:t>
      </w:r>
    </w:p>
    <w:p w:rsidRPr="00B712C7" w:rsidR="00FD55EF" w:rsidP="00762568" w:rsidRDefault="00FD55EF" w14:paraId="5742DDD6" w14:textId="3B454345">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b/>
        </w:rPr>
      </w:pPr>
      <w:r w:rsidRPr="00B712C7">
        <w:rPr>
          <w:rFonts w:ascii="Arial" w:hAnsi="Arial" w:eastAsia="MS Mincho" w:cs="Arial"/>
          <w:b/>
        </w:rPr>
        <w:t>Statistical tests</w:t>
      </w:r>
    </w:p>
    <w:p w:rsidRPr="00B712C7" w:rsidR="00A351F2" w:rsidP="00762568" w:rsidRDefault="00FD55EF" w14:paraId="2C8C65D2" w14:textId="563C02C3">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 xml:space="preserve">The </w:t>
      </w:r>
      <w:r w:rsidRPr="00B712C7" w:rsidR="00C46D52">
        <w:rPr>
          <w:rFonts w:ascii="Arial" w:hAnsi="Arial" w:eastAsia="MS Mincho" w:cs="Arial"/>
        </w:rPr>
        <w:t>Kendall’s rank-order correlation coefficient was applied to the monthly offence and unique offender rates over two, five and ten year periods to identify whether any observed movements in the data represent</w:t>
      </w:r>
      <w:r w:rsidRPr="00B712C7" w:rsidR="00CB10B9">
        <w:rPr>
          <w:rFonts w:ascii="Arial" w:hAnsi="Arial" w:eastAsia="MS Mincho" w:cs="Arial"/>
        </w:rPr>
        <w:t>ed</w:t>
      </w:r>
      <w:r w:rsidRPr="00B712C7" w:rsidR="00C46D52">
        <w:rPr>
          <w:rFonts w:ascii="Arial" w:hAnsi="Arial" w:eastAsia="MS Mincho" w:cs="Arial"/>
        </w:rPr>
        <w:t xml:space="preserve"> statistically significant</w:t>
      </w:r>
      <w:r w:rsidRPr="00B712C7" w:rsidR="005D4548">
        <w:rPr>
          <w:rFonts w:ascii="Arial" w:hAnsi="Arial" w:eastAsia="MS Mincho" w:cs="Arial"/>
        </w:rPr>
        <w:t xml:space="preserve"> short</w:t>
      </w:r>
      <w:r w:rsidRPr="00B712C7" w:rsidR="00B74E5C">
        <w:rPr>
          <w:rFonts w:ascii="Arial" w:hAnsi="Arial" w:eastAsia="MS Mincho" w:cs="Arial"/>
        </w:rPr>
        <w:t>-</w:t>
      </w:r>
      <w:r w:rsidRPr="00B712C7" w:rsidR="005D4548">
        <w:rPr>
          <w:rFonts w:ascii="Arial" w:hAnsi="Arial" w:eastAsia="MS Mincho" w:cs="Arial"/>
        </w:rPr>
        <w:t>, medium</w:t>
      </w:r>
      <w:r w:rsidRPr="00B712C7" w:rsidR="00B74E5C">
        <w:rPr>
          <w:rFonts w:ascii="Arial" w:hAnsi="Arial" w:eastAsia="MS Mincho" w:cs="Arial"/>
        </w:rPr>
        <w:t>-</w:t>
      </w:r>
      <w:r w:rsidRPr="00B712C7" w:rsidR="005D4548">
        <w:rPr>
          <w:rFonts w:ascii="Arial" w:hAnsi="Arial" w:eastAsia="MS Mincho" w:cs="Arial"/>
        </w:rPr>
        <w:t xml:space="preserve"> or long-term</w:t>
      </w:r>
      <w:r w:rsidRPr="00B712C7" w:rsidR="00C46D52">
        <w:rPr>
          <w:rFonts w:ascii="Arial" w:hAnsi="Arial" w:eastAsia="MS Mincho" w:cs="Arial"/>
        </w:rPr>
        <w:t xml:space="preserve"> trends. Chi-square analyses (indicated by the symbol: </w:t>
      </w:r>
      <w:r w:rsidRPr="00B712C7" w:rsidR="00C46D52">
        <w:rPr>
          <w:rFonts w:ascii="Arial" w:hAnsi="Arial" w:cs="Arial"/>
        </w:rPr>
        <w:t>χ</w:t>
      </w:r>
      <w:r w:rsidRPr="00B712C7" w:rsidR="00C46D52">
        <w:rPr>
          <w:rFonts w:ascii="Arial" w:hAnsi="Arial" w:cs="Arial"/>
          <w:vertAlign w:val="superscript"/>
        </w:rPr>
        <w:t>2</w:t>
      </w:r>
      <w:r w:rsidRPr="00B712C7" w:rsidR="00C46D52">
        <w:rPr>
          <w:rFonts w:ascii="Arial" w:hAnsi="Arial" w:eastAsia="MS Mincho" w:cs="Arial"/>
        </w:rPr>
        <w:t xml:space="preserve">) were also used to examine whether there were any significant </w:t>
      </w:r>
      <w:r w:rsidRPr="00B712C7" w:rsidR="005D4548">
        <w:rPr>
          <w:rFonts w:ascii="Arial" w:hAnsi="Arial" w:eastAsia="MS Mincho" w:cs="Arial"/>
        </w:rPr>
        <w:t>relationships between variables</w:t>
      </w:r>
      <w:r w:rsidRPr="00B712C7" w:rsidR="00C46D52">
        <w:rPr>
          <w:rFonts w:ascii="Arial" w:hAnsi="Arial" w:eastAsia="MS Mincho" w:cs="Arial"/>
        </w:rPr>
        <w:t xml:space="preserve">, for example, </w:t>
      </w:r>
      <w:r w:rsidRPr="00B712C7" w:rsidR="00566771">
        <w:rPr>
          <w:rFonts w:ascii="Arial" w:hAnsi="Arial" w:eastAsia="MS Mincho" w:cs="Arial"/>
        </w:rPr>
        <w:t>if</w:t>
      </w:r>
      <w:r w:rsidRPr="00B712C7" w:rsidR="005D4548">
        <w:rPr>
          <w:rFonts w:ascii="Arial" w:hAnsi="Arial" w:eastAsia="MS Mincho" w:cs="Arial"/>
        </w:rPr>
        <w:t xml:space="preserve"> there were associations between a range of demographic factors and </w:t>
      </w:r>
      <w:r w:rsidRPr="00B712C7" w:rsidR="00566771">
        <w:rPr>
          <w:rFonts w:ascii="Arial" w:hAnsi="Arial" w:eastAsia="MS Mincho" w:cs="Arial"/>
        </w:rPr>
        <w:t>repeat offending.</w:t>
      </w:r>
    </w:p>
    <w:p w:rsidRPr="00B712C7" w:rsidR="006F0E4B" w:rsidP="000D2F7B" w:rsidRDefault="006F0E4B" w14:paraId="6F2EF5EE" w14:textId="77777777">
      <w:pPr>
        <w:pStyle w:val="ListParagraph"/>
        <w:widowControl w:val="false"/>
        <w:suppressAutoHyphens/>
        <w:autoSpaceDE w:val="false"/>
        <w:autoSpaceDN w:val="false"/>
        <w:adjustRightInd w:val="false"/>
        <w:spacing w:before="170" w:after="57" w:line="300" w:lineRule="atLeast"/>
        <w:ind w:left="-567" w:firstLine="567"/>
        <w:textAlignment w:val="center"/>
        <w:outlineLvl w:val="2"/>
        <w:rPr>
          <w:rFonts w:ascii="Arial" w:hAnsi="Arial" w:eastAsia="MS Mincho" w:cs="Arial"/>
          <w:color w:val="808080"/>
          <w:sz w:val="26"/>
          <w:szCs w:val="26"/>
          <w:lang w:val="en-GB"/>
        </w:rPr>
      </w:pPr>
    </w:p>
    <w:p w:rsidR="00B712C7" w:rsidP="000D2F7B" w:rsidRDefault="00B712C7" w14:paraId="5FBD7F0C" w14:textId="77777777">
      <w:pPr>
        <w:pStyle w:val="ListParagraph"/>
        <w:widowControl w:val="false"/>
        <w:suppressAutoHyphens/>
        <w:autoSpaceDE w:val="false"/>
        <w:autoSpaceDN w:val="false"/>
        <w:adjustRightInd w:val="false"/>
        <w:spacing w:before="170" w:after="57" w:line="300" w:lineRule="atLeast"/>
        <w:ind w:left="-567" w:firstLine="567"/>
        <w:textAlignment w:val="center"/>
        <w:outlineLvl w:val="2"/>
        <w:rPr>
          <w:rFonts w:ascii="Arial" w:hAnsi="Arial" w:eastAsia="MS Mincho" w:cs="Arial"/>
          <w:color w:val="808080"/>
          <w:sz w:val="26"/>
          <w:szCs w:val="26"/>
          <w:lang w:val="en-GB"/>
        </w:rPr>
      </w:pPr>
    </w:p>
    <w:p w:rsidR="00B712C7" w:rsidP="000D2F7B" w:rsidRDefault="00B712C7" w14:paraId="03BFCBC0" w14:textId="77777777">
      <w:pPr>
        <w:pStyle w:val="ListParagraph"/>
        <w:widowControl w:val="false"/>
        <w:suppressAutoHyphens/>
        <w:autoSpaceDE w:val="false"/>
        <w:autoSpaceDN w:val="false"/>
        <w:adjustRightInd w:val="false"/>
        <w:spacing w:before="170" w:after="57" w:line="300" w:lineRule="atLeast"/>
        <w:ind w:left="-567" w:firstLine="567"/>
        <w:textAlignment w:val="center"/>
        <w:outlineLvl w:val="2"/>
        <w:rPr>
          <w:rFonts w:ascii="Arial" w:hAnsi="Arial" w:eastAsia="MS Mincho" w:cs="Arial"/>
          <w:color w:val="808080"/>
          <w:sz w:val="26"/>
          <w:szCs w:val="26"/>
          <w:lang w:val="en-GB"/>
        </w:rPr>
      </w:pPr>
    </w:p>
    <w:p w:rsidR="00B712C7" w:rsidP="000D2F7B" w:rsidRDefault="00B712C7" w14:paraId="6FF836CD" w14:textId="77777777">
      <w:pPr>
        <w:pStyle w:val="ListParagraph"/>
        <w:widowControl w:val="false"/>
        <w:suppressAutoHyphens/>
        <w:autoSpaceDE w:val="false"/>
        <w:autoSpaceDN w:val="false"/>
        <w:adjustRightInd w:val="false"/>
        <w:spacing w:before="170" w:after="57" w:line="300" w:lineRule="atLeast"/>
        <w:ind w:left="-567" w:firstLine="567"/>
        <w:textAlignment w:val="center"/>
        <w:outlineLvl w:val="2"/>
        <w:rPr>
          <w:rFonts w:ascii="Arial" w:hAnsi="Arial" w:eastAsia="MS Mincho" w:cs="Arial"/>
          <w:color w:val="808080"/>
          <w:sz w:val="26"/>
          <w:szCs w:val="26"/>
          <w:lang w:val="en-GB"/>
        </w:rPr>
      </w:pPr>
    </w:p>
    <w:p w:rsidR="00B712C7" w:rsidP="000D2F7B" w:rsidRDefault="00B712C7" w14:paraId="205B3D34" w14:textId="77777777">
      <w:pPr>
        <w:pStyle w:val="ListParagraph"/>
        <w:widowControl w:val="false"/>
        <w:suppressAutoHyphens/>
        <w:autoSpaceDE w:val="false"/>
        <w:autoSpaceDN w:val="false"/>
        <w:adjustRightInd w:val="false"/>
        <w:spacing w:before="170" w:after="57" w:line="300" w:lineRule="atLeast"/>
        <w:ind w:left="-567" w:firstLine="567"/>
        <w:textAlignment w:val="center"/>
        <w:outlineLvl w:val="2"/>
        <w:rPr>
          <w:rFonts w:ascii="Arial" w:hAnsi="Arial" w:eastAsia="MS Mincho" w:cs="Arial"/>
          <w:color w:val="808080"/>
          <w:sz w:val="26"/>
          <w:szCs w:val="26"/>
          <w:lang w:val="en-GB"/>
        </w:rPr>
      </w:pPr>
    </w:p>
    <w:p w:rsidR="00B712C7" w:rsidP="000D2F7B" w:rsidRDefault="00B712C7" w14:paraId="6747A890" w14:textId="77777777">
      <w:pPr>
        <w:pStyle w:val="ListParagraph"/>
        <w:widowControl w:val="false"/>
        <w:suppressAutoHyphens/>
        <w:autoSpaceDE w:val="false"/>
        <w:autoSpaceDN w:val="false"/>
        <w:adjustRightInd w:val="false"/>
        <w:spacing w:before="170" w:after="57" w:line="300" w:lineRule="atLeast"/>
        <w:ind w:left="-567" w:firstLine="567"/>
        <w:textAlignment w:val="center"/>
        <w:outlineLvl w:val="2"/>
        <w:rPr>
          <w:rFonts w:ascii="Arial" w:hAnsi="Arial" w:eastAsia="MS Mincho" w:cs="Arial"/>
          <w:color w:val="808080"/>
          <w:sz w:val="26"/>
          <w:szCs w:val="26"/>
          <w:lang w:val="en-GB"/>
        </w:rPr>
      </w:pPr>
    </w:p>
    <w:p w:rsidR="00A06EEC" w:rsidP="000D2F7B" w:rsidRDefault="00A06EEC" w14:paraId="7AD77273" w14:textId="77777777">
      <w:pPr>
        <w:pStyle w:val="ListParagraph"/>
        <w:widowControl w:val="false"/>
        <w:suppressAutoHyphens/>
        <w:autoSpaceDE w:val="false"/>
        <w:autoSpaceDN w:val="false"/>
        <w:adjustRightInd w:val="false"/>
        <w:spacing w:before="170" w:after="57" w:line="300" w:lineRule="atLeast"/>
        <w:ind w:left="-567" w:firstLine="567"/>
        <w:textAlignment w:val="center"/>
        <w:outlineLvl w:val="2"/>
        <w:rPr>
          <w:rFonts w:ascii="Arial" w:hAnsi="Arial" w:eastAsia="MS Mincho" w:cs="Arial"/>
          <w:color w:val="808080"/>
          <w:sz w:val="26"/>
          <w:szCs w:val="26"/>
          <w:lang w:val="en-GB"/>
        </w:rPr>
      </w:pPr>
    </w:p>
    <w:p w:rsidR="00A06EEC" w:rsidP="000D2F7B" w:rsidRDefault="00A06EEC" w14:paraId="364E9FC3" w14:textId="77777777">
      <w:pPr>
        <w:pStyle w:val="ListParagraph"/>
        <w:widowControl w:val="false"/>
        <w:suppressAutoHyphens/>
        <w:autoSpaceDE w:val="false"/>
        <w:autoSpaceDN w:val="false"/>
        <w:adjustRightInd w:val="false"/>
        <w:spacing w:before="170" w:after="57" w:line="300" w:lineRule="atLeast"/>
        <w:ind w:left="-567" w:firstLine="567"/>
        <w:textAlignment w:val="center"/>
        <w:outlineLvl w:val="2"/>
        <w:rPr>
          <w:rFonts w:ascii="Arial" w:hAnsi="Arial" w:eastAsia="MS Mincho" w:cs="Arial"/>
          <w:color w:val="808080"/>
          <w:sz w:val="26"/>
          <w:szCs w:val="26"/>
          <w:lang w:val="en-GB"/>
        </w:rPr>
      </w:pPr>
    </w:p>
    <w:p w:rsidRPr="00B712C7" w:rsidR="004E1E8B" w:rsidP="000D2F7B" w:rsidRDefault="00762568" w14:paraId="500C7743" w14:textId="77777777">
      <w:pPr>
        <w:pStyle w:val="ListParagraph"/>
        <w:widowControl w:val="false"/>
        <w:suppressAutoHyphens/>
        <w:autoSpaceDE w:val="false"/>
        <w:autoSpaceDN w:val="false"/>
        <w:adjustRightInd w:val="false"/>
        <w:spacing w:before="170" w:after="57" w:line="300" w:lineRule="atLeast"/>
        <w:ind w:left="-567" w:firstLine="567"/>
        <w:textAlignment w:val="center"/>
        <w:outlineLvl w:val="2"/>
        <w:rPr>
          <w:rFonts w:ascii="Arial" w:hAnsi="Arial" w:eastAsia="MS Mincho" w:cs="Arial"/>
          <w:color w:val="808080"/>
          <w:sz w:val="26"/>
          <w:szCs w:val="26"/>
          <w:lang w:val="en-GB"/>
        </w:rPr>
      </w:pPr>
      <w:r w:rsidRPr="00B712C7">
        <w:rPr>
          <w:rFonts w:ascii="Arial" w:hAnsi="Arial" w:eastAsia="MS Mincho" w:cs="Arial"/>
          <w:color w:val="808080"/>
          <w:sz w:val="26"/>
          <w:szCs w:val="26"/>
          <w:lang w:val="en-GB"/>
        </w:rPr>
        <w:lastRenderedPageBreak/>
        <w:t xml:space="preserve">Results </w:t>
      </w:r>
    </w:p>
    <w:p w:rsidRPr="00B712C7" w:rsidR="00D87E78" w:rsidP="00762568" w:rsidRDefault="00D0426C" w14:paraId="094820FB"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Between 1 January 2005 and 31 December 2014, a total of 123,532 drug use and possession offences were recorded by Victoria Police. Th</w:t>
      </w:r>
      <w:r w:rsidRPr="00B712C7" w:rsidR="00DA3A3B">
        <w:rPr>
          <w:rFonts w:ascii="Arial" w:hAnsi="Arial" w:eastAsia="MS Mincho" w:cs="Arial"/>
        </w:rPr>
        <w:t xml:space="preserve">ese </w:t>
      </w:r>
      <w:r w:rsidRPr="00B712C7" w:rsidR="00396EF9">
        <w:rPr>
          <w:rFonts w:ascii="Arial" w:hAnsi="Arial" w:eastAsia="MS Mincho" w:cs="Arial"/>
        </w:rPr>
        <w:t xml:space="preserve">offences </w:t>
      </w:r>
      <w:r w:rsidRPr="00B712C7" w:rsidR="00DA3A3B">
        <w:rPr>
          <w:rFonts w:ascii="Arial" w:hAnsi="Arial" w:eastAsia="MS Mincho" w:cs="Arial"/>
        </w:rPr>
        <w:t>were committed by</w:t>
      </w:r>
      <w:r w:rsidRPr="00B712C7">
        <w:rPr>
          <w:rFonts w:ascii="Arial" w:hAnsi="Arial" w:eastAsia="MS Mincho" w:cs="Arial"/>
        </w:rPr>
        <w:t xml:space="preserve"> 66,210</w:t>
      </w:r>
      <w:r w:rsidRPr="00B712C7" w:rsidR="009C1AB5">
        <w:rPr>
          <w:rFonts w:ascii="Arial" w:hAnsi="Arial" w:eastAsia="MS Mincho" w:cs="Arial"/>
        </w:rPr>
        <w:t xml:space="preserve"> unique</w:t>
      </w:r>
      <w:r w:rsidRPr="00B712C7">
        <w:rPr>
          <w:rFonts w:ascii="Arial" w:hAnsi="Arial" w:eastAsia="MS Mincho" w:cs="Arial"/>
        </w:rPr>
        <w:t xml:space="preserve"> offenders</w:t>
      </w:r>
      <w:r w:rsidRPr="00B712C7" w:rsidR="0060532C">
        <w:rPr>
          <w:rFonts w:ascii="Arial" w:hAnsi="Arial" w:eastAsia="MS Mincho" w:cs="Arial"/>
        </w:rPr>
        <w:t>.</w:t>
      </w:r>
      <w:r w:rsidRPr="00B712C7">
        <w:rPr>
          <w:rFonts w:ascii="Arial" w:hAnsi="Arial" w:eastAsia="MS Mincho" w:cs="Arial"/>
        </w:rPr>
        <w:t xml:space="preserve"> </w:t>
      </w:r>
    </w:p>
    <w:p w:rsidRPr="00B712C7" w:rsidR="009F7006" w:rsidP="00762568" w:rsidRDefault="00C67BCE" w14:paraId="2F25F648"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b/>
        </w:rPr>
      </w:pPr>
      <w:r w:rsidRPr="00B712C7">
        <w:rPr>
          <w:rFonts w:ascii="Arial" w:hAnsi="Arial" w:eastAsia="MS Mincho" w:cs="Arial"/>
          <w:b/>
        </w:rPr>
        <w:t>Rates of offences and unique offenders</w:t>
      </w:r>
    </w:p>
    <w:p w:rsidRPr="00B712C7" w:rsidR="00643BE1" w:rsidP="00643BE1" w:rsidRDefault="00D0426C" w14:paraId="5E65EB5E" w14:textId="66CB62BF">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 xml:space="preserve">Figure </w:t>
      </w:r>
      <w:r w:rsidRPr="00B712C7" w:rsidR="002460AF">
        <w:rPr>
          <w:rFonts w:ascii="Arial" w:hAnsi="Arial" w:eastAsia="MS Mincho" w:cs="Arial"/>
        </w:rPr>
        <w:t>2</w:t>
      </w:r>
      <w:r w:rsidRPr="00B712C7">
        <w:rPr>
          <w:rFonts w:ascii="Arial" w:hAnsi="Arial" w:eastAsia="MS Mincho" w:cs="Arial"/>
        </w:rPr>
        <w:t xml:space="preserve"> </w:t>
      </w:r>
      <w:r w:rsidRPr="00B712C7" w:rsidR="00E72DDD">
        <w:rPr>
          <w:rFonts w:ascii="Arial" w:hAnsi="Arial" w:eastAsia="MS Mincho" w:cs="Arial"/>
        </w:rPr>
        <w:t>compares</w:t>
      </w:r>
      <w:r w:rsidRPr="00B712C7">
        <w:rPr>
          <w:rFonts w:ascii="Arial" w:hAnsi="Arial" w:eastAsia="MS Mincho" w:cs="Arial"/>
        </w:rPr>
        <w:t xml:space="preserve"> the rate of offences and unique offenders per</w:t>
      </w:r>
      <w:r w:rsidRPr="00B712C7" w:rsidR="00560A9C">
        <w:rPr>
          <w:rFonts w:ascii="Arial" w:hAnsi="Arial" w:eastAsia="MS Mincho" w:cs="Arial"/>
        </w:rPr>
        <w:t xml:space="preserve"> 100,000 population</w:t>
      </w:r>
      <w:r w:rsidRPr="00B712C7">
        <w:rPr>
          <w:rFonts w:ascii="Arial" w:hAnsi="Arial" w:eastAsia="MS Mincho" w:cs="Arial"/>
        </w:rPr>
        <w:t xml:space="preserve"> over the ten year period. </w:t>
      </w:r>
      <w:r w:rsidRPr="00B712C7" w:rsidR="00E63F5B">
        <w:rPr>
          <w:rFonts w:ascii="Arial" w:hAnsi="Arial" w:eastAsia="MS Mincho" w:cs="Arial"/>
        </w:rPr>
        <w:t xml:space="preserve">Statistically significant upward trends were found in both the monthly offence and </w:t>
      </w:r>
      <w:r w:rsidRPr="00B712C7" w:rsidR="00CB10B9">
        <w:rPr>
          <w:rFonts w:ascii="Arial" w:hAnsi="Arial" w:eastAsia="MS Mincho" w:cs="Arial"/>
        </w:rPr>
        <w:t xml:space="preserve">unique </w:t>
      </w:r>
      <w:r w:rsidRPr="00B712C7" w:rsidR="00E63F5B">
        <w:rPr>
          <w:rFonts w:ascii="Arial" w:hAnsi="Arial" w:eastAsia="MS Mincho" w:cs="Arial"/>
        </w:rPr>
        <w:t>offender rates over the past five and ten years</w:t>
      </w:r>
      <w:r w:rsidRPr="00B712C7" w:rsidR="00261772">
        <w:rPr>
          <w:rFonts w:ascii="Arial" w:hAnsi="Arial" w:eastAsia="MS Mincho" w:cs="Arial"/>
        </w:rPr>
        <w:t>, as outlined in T</w:t>
      </w:r>
      <w:r w:rsidRPr="00B712C7" w:rsidR="00560A9C">
        <w:rPr>
          <w:rFonts w:ascii="Arial" w:hAnsi="Arial" w:eastAsia="MS Mincho" w:cs="Arial"/>
        </w:rPr>
        <w:t xml:space="preserve">able </w:t>
      </w:r>
      <w:r w:rsidRPr="00B712C7" w:rsidR="00867AF9">
        <w:rPr>
          <w:rFonts w:ascii="Arial" w:hAnsi="Arial" w:eastAsia="MS Mincho" w:cs="Arial"/>
        </w:rPr>
        <w:t>2</w:t>
      </w:r>
      <w:r w:rsidRPr="00B712C7" w:rsidR="00E63F5B">
        <w:rPr>
          <w:rFonts w:ascii="Arial" w:hAnsi="Arial" w:eastAsia="MS Mincho" w:cs="Arial"/>
        </w:rPr>
        <w:t xml:space="preserve">. </w:t>
      </w:r>
      <w:r w:rsidRPr="00B712C7" w:rsidR="00C0754B">
        <w:rPr>
          <w:rFonts w:ascii="Arial" w:hAnsi="Arial" w:eastAsia="MS Mincho" w:cs="Arial"/>
        </w:rPr>
        <w:t>T</w:t>
      </w:r>
      <w:r w:rsidRPr="00B712C7" w:rsidR="00311DCC">
        <w:rPr>
          <w:rFonts w:ascii="Arial" w:hAnsi="Arial" w:eastAsia="MS Mincho" w:cs="Arial"/>
        </w:rPr>
        <w:t>he rate of of</w:t>
      </w:r>
      <w:r w:rsidRPr="00B712C7" w:rsidR="00C0754B">
        <w:rPr>
          <w:rFonts w:ascii="Arial" w:hAnsi="Arial" w:eastAsia="MS Mincho" w:cs="Arial"/>
        </w:rPr>
        <w:t>fences</w:t>
      </w:r>
      <w:r w:rsidRPr="00B712C7" w:rsidR="00311DCC">
        <w:rPr>
          <w:rFonts w:ascii="Arial" w:hAnsi="Arial" w:eastAsia="MS Mincho" w:cs="Arial"/>
        </w:rPr>
        <w:t xml:space="preserve"> increased </w:t>
      </w:r>
      <w:r w:rsidRPr="00B712C7" w:rsidR="002145D5">
        <w:rPr>
          <w:rFonts w:ascii="Arial" w:hAnsi="Arial" w:eastAsia="MS Mincho" w:cs="Arial"/>
        </w:rPr>
        <w:t>from 190.8</w:t>
      </w:r>
      <w:r w:rsidRPr="00B712C7" w:rsidR="00311DCC">
        <w:rPr>
          <w:rFonts w:ascii="Arial" w:hAnsi="Arial" w:eastAsia="MS Mincho" w:cs="Arial"/>
        </w:rPr>
        <w:t xml:space="preserve"> in 2010 to</w:t>
      </w:r>
      <w:r w:rsidRPr="00B712C7" w:rsidR="002145D5">
        <w:rPr>
          <w:rFonts w:ascii="Arial" w:hAnsi="Arial" w:eastAsia="MS Mincho" w:cs="Arial"/>
        </w:rPr>
        <w:t xml:space="preserve"> 323.3</w:t>
      </w:r>
      <w:r w:rsidRPr="00B712C7" w:rsidR="00311DCC">
        <w:rPr>
          <w:rFonts w:ascii="Arial" w:hAnsi="Arial" w:eastAsia="MS Mincho" w:cs="Arial"/>
        </w:rPr>
        <w:t xml:space="preserve"> in 2014</w:t>
      </w:r>
      <w:r w:rsidRPr="00B712C7" w:rsidR="002C0D8F">
        <w:rPr>
          <w:rFonts w:ascii="Arial" w:hAnsi="Arial" w:eastAsia="MS Mincho" w:cs="Arial"/>
        </w:rPr>
        <w:t>, which represents an annual average percentage increase of 14.2%. The greatest annual percentage increase</w:t>
      </w:r>
      <w:r w:rsidRPr="00B712C7" w:rsidR="006005C0">
        <w:rPr>
          <w:rFonts w:ascii="Arial" w:hAnsi="Arial" w:eastAsia="MS Mincho" w:cs="Arial"/>
        </w:rPr>
        <w:t xml:space="preserve">s occurred from </w:t>
      </w:r>
      <w:r w:rsidRPr="00B712C7" w:rsidR="002C0D8F">
        <w:rPr>
          <w:rFonts w:ascii="Arial" w:hAnsi="Arial" w:eastAsia="MS Mincho" w:cs="Arial"/>
        </w:rPr>
        <w:t>2010 to 2011</w:t>
      </w:r>
      <w:r w:rsidRPr="00B712C7" w:rsidR="006005C0">
        <w:rPr>
          <w:rFonts w:ascii="Arial" w:hAnsi="Arial" w:eastAsia="MS Mincho" w:cs="Arial"/>
        </w:rPr>
        <w:t xml:space="preserve"> (15.2% increase)</w:t>
      </w:r>
      <w:r w:rsidRPr="00B712C7" w:rsidR="002C0D8F">
        <w:rPr>
          <w:rFonts w:ascii="Arial" w:hAnsi="Arial" w:eastAsia="MS Mincho" w:cs="Arial"/>
        </w:rPr>
        <w:t xml:space="preserve">, </w:t>
      </w:r>
      <w:r w:rsidRPr="00B712C7" w:rsidR="006005C0">
        <w:rPr>
          <w:rFonts w:ascii="Arial" w:hAnsi="Arial" w:eastAsia="MS Mincho" w:cs="Arial"/>
        </w:rPr>
        <w:t>and</w:t>
      </w:r>
      <w:r w:rsidRPr="00B712C7" w:rsidR="002C0D8F">
        <w:rPr>
          <w:rFonts w:ascii="Arial" w:hAnsi="Arial" w:eastAsia="MS Mincho" w:cs="Arial"/>
        </w:rPr>
        <w:t xml:space="preserve"> from 2011 to 2012</w:t>
      </w:r>
      <w:r w:rsidRPr="00B712C7" w:rsidR="006005C0">
        <w:rPr>
          <w:rFonts w:ascii="Arial" w:hAnsi="Arial" w:eastAsia="MS Mincho" w:cs="Arial"/>
        </w:rPr>
        <w:t xml:space="preserve"> (19.7% increase)</w:t>
      </w:r>
      <w:r w:rsidRPr="00B712C7" w:rsidR="00DA3A3B">
        <w:rPr>
          <w:rFonts w:ascii="Arial" w:hAnsi="Arial" w:eastAsia="MS Mincho" w:cs="Arial"/>
        </w:rPr>
        <w:t>. T</w:t>
      </w:r>
      <w:r w:rsidRPr="00B712C7" w:rsidR="002145D5">
        <w:rPr>
          <w:rFonts w:ascii="Arial" w:hAnsi="Arial" w:eastAsia="MS Mincho" w:cs="Arial"/>
        </w:rPr>
        <w:t>he r</w:t>
      </w:r>
      <w:r w:rsidRPr="00B712C7" w:rsidR="00560A9C">
        <w:rPr>
          <w:rFonts w:ascii="Arial" w:hAnsi="Arial" w:eastAsia="MS Mincho" w:cs="Arial"/>
        </w:rPr>
        <w:t>ate of unique offenders</w:t>
      </w:r>
      <w:r w:rsidRPr="00B712C7" w:rsidR="002145D5">
        <w:rPr>
          <w:rFonts w:ascii="Arial" w:hAnsi="Arial" w:eastAsia="MS Mincho" w:cs="Arial"/>
        </w:rPr>
        <w:t xml:space="preserve"> </w:t>
      </w:r>
      <w:r w:rsidRPr="00B712C7" w:rsidR="00396EF9">
        <w:rPr>
          <w:rFonts w:ascii="Arial" w:hAnsi="Arial" w:eastAsia="MS Mincho" w:cs="Arial"/>
        </w:rPr>
        <w:t>increased to a lesser extent</w:t>
      </w:r>
      <w:r w:rsidRPr="00B712C7" w:rsidR="006005C0">
        <w:rPr>
          <w:rFonts w:ascii="Arial" w:hAnsi="Arial" w:eastAsia="MS Mincho" w:cs="Arial"/>
        </w:rPr>
        <w:t xml:space="preserve"> between 2010 and 2014</w:t>
      </w:r>
      <w:r w:rsidRPr="00B712C7" w:rsidR="00396EF9">
        <w:rPr>
          <w:rFonts w:ascii="Arial" w:hAnsi="Arial" w:eastAsia="MS Mincho" w:cs="Arial"/>
        </w:rPr>
        <w:t>, from</w:t>
      </w:r>
      <w:r w:rsidRPr="00B712C7" w:rsidR="002145D5">
        <w:rPr>
          <w:rFonts w:ascii="Arial" w:hAnsi="Arial" w:eastAsia="MS Mincho" w:cs="Arial"/>
        </w:rPr>
        <w:t xml:space="preserve"> 147.0 to 215.4</w:t>
      </w:r>
      <w:r w:rsidRPr="00B712C7" w:rsidR="002C0D8F">
        <w:rPr>
          <w:rFonts w:ascii="Arial" w:hAnsi="Arial" w:eastAsia="MS Mincho" w:cs="Arial"/>
        </w:rPr>
        <w:t xml:space="preserve">, representing an average annual percentage increase of </w:t>
      </w:r>
      <w:r w:rsidRPr="00B712C7" w:rsidR="00C0754B">
        <w:rPr>
          <w:rFonts w:ascii="Arial" w:hAnsi="Arial" w:eastAsia="MS Mincho" w:cs="Arial"/>
        </w:rPr>
        <w:t>10.1</w:t>
      </w:r>
      <w:r w:rsidRPr="00B712C7" w:rsidR="006005C0">
        <w:rPr>
          <w:rFonts w:ascii="Arial" w:hAnsi="Arial" w:eastAsia="MS Mincho" w:cs="Arial"/>
        </w:rPr>
        <w:t>%</w:t>
      </w:r>
      <w:r w:rsidRPr="00B712C7" w:rsidR="00311DCC">
        <w:rPr>
          <w:rFonts w:ascii="Arial" w:hAnsi="Arial" w:eastAsia="MS Mincho" w:cs="Arial"/>
        </w:rPr>
        <w:t xml:space="preserve">. </w:t>
      </w:r>
      <w:r w:rsidRPr="00B712C7" w:rsidR="002C0D8F">
        <w:rPr>
          <w:rFonts w:ascii="Arial" w:hAnsi="Arial" w:eastAsia="MS Mincho" w:cs="Arial"/>
        </w:rPr>
        <w:t>Again, t</w:t>
      </w:r>
      <w:r w:rsidRPr="00B712C7" w:rsidR="00643BE1">
        <w:rPr>
          <w:rFonts w:ascii="Arial" w:hAnsi="Arial" w:eastAsia="MS Mincho" w:cs="Arial"/>
        </w:rPr>
        <w:t xml:space="preserve">he greatest percentage </w:t>
      </w:r>
      <w:r w:rsidRPr="00B712C7" w:rsidR="002C0D8F">
        <w:rPr>
          <w:rFonts w:ascii="Arial" w:hAnsi="Arial" w:eastAsia="MS Mincho" w:cs="Arial"/>
        </w:rPr>
        <w:t>increases occurred</w:t>
      </w:r>
      <w:r w:rsidRPr="00B712C7" w:rsidR="00643BE1">
        <w:rPr>
          <w:rFonts w:ascii="Arial" w:hAnsi="Arial" w:eastAsia="MS Mincho" w:cs="Arial"/>
        </w:rPr>
        <w:t xml:space="preserve"> from 2010 to 2011 (11.3% increase) and from 2011 to 2012 (</w:t>
      </w:r>
      <w:r w:rsidRPr="00B712C7" w:rsidR="002C0D8F">
        <w:rPr>
          <w:rFonts w:ascii="Arial" w:hAnsi="Arial" w:eastAsia="MS Mincho" w:cs="Arial"/>
        </w:rPr>
        <w:t xml:space="preserve">14.4% </w:t>
      </w:r>
      <w:r w:rsidRPr="00B712C7" w:rsidR="00643BE1">
        <w:rPr>
          <w:rFonts w:ascii="Arial" w:hAnsi="Arial" w:eastAsia="MS Mincho" w:cs="Arial"/>
        </w:rPr>
        <w:t xml:space="preserve">increase). </w:t>
      </w:r>
    </w:p>
    <w:p w:rsidRPr="00B712C7" w:rsidR="00643BE1" w:rsidP="00762568" w:rsidRDefault="00643BE1" w14:paraId="07034C5E" w14:textId="77445348">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No</w:t>
      </w:r>
      <w:r w:rsidRPr="00B712C7" w:rsidR="00560A9C">
        <w:rPr>
          <w:rFonts w:ascii="Arial" w:hAnsi="Arial" w:eastAsia="MS Mincho" w:cs="Arial"/>
        </w:rPr>
        <w:t>te that no</w:t>
      </w:r>
      <w:r w:rsidRPr="00B712C7">
        <w:rPr>
          <w:rFonts w:ascii="Arial" w:hAnsi="Arial" w:eastAsia="MS Mincho" w:cs="Arial"/>
        </w:rPr>
        <w:t xml:space="preserve"> statistically significant trends were found in monthly offence or offender rates over the past two</w:t>
      </w:r>
      <w:r w:rsidRPr="00B712C7" w:rsidR="009C1AB5">
        <w:rPr>
          <w:rFonts w:ascii="Arial" w:hAnsi="Arial" w:eastAsia="MS Mincho" w:cs="Arial"/>
        </w:rPr>
        <w:t xml:space="preserve"> years. </w:t>
      </w:r>
      <w:r w:rsidRPr="00B712C7" w:rsidR="00C92F62">
        <w:rPr>
          <w:rFonts w:ascii="Arial" w:hAnsi="Arial" w:eastAsia="MS Mincho" w:cs="Arial"/>
        </w:rPr>
        <w:t xml:space="preserve">This means that any changes in offence and offender rates in the short term are not significant and the rates can be interpreted as stable over this period. </w:t>
      </w:r>
      <w:r w:rsidRPr="00B712C7" w:rsidR="002460AF">
        <w:rPr>
          <w:rFonts w:ascii="Arial" w:hAnsi="Arial" w:eastAsia="MS Mincho" w:cs="Arial"/>
        </w:rPr>
        <w:t>Figure 2</w:t>
      </w:r>
      <w:r w:rsidRPr="00B712C7" w:rsidR="009C1AB5">
        <w:rPr>
          <w:rFonts w:ascii="Arial" w:hAnsi="Arial" w:eastAsia="MS Mincho" w:cs="Arial"/>
        </w:rPr>
        <w:t xml:space="preserve"> </w:t>
      </w:r>
      <w:r w:rsidRPr="00B712C7" w:rsidR="000B3A71">
        <w:rPr>
          <w:rFonts w:ascii="Arial" w:hAnsi="Arial" w:eastAsia="MS Mincho" w:cs="Arial"/>
        </w:rPr>
        <w:t xml:space="preserve">also illustrates </w:t>
      </w:r>
      <w:r w:rsidRPr="00B712C7">
        <w:rPr>
          <w:rFonts w:ascii="Arial" w:hAnsi="Arial" w:eastAsia="MS Mincho" w:cs="Arial"/>
        </w:rPr>
        <w:t>th</w:t>
      </w:r>
      <w:r w:rsidRPr="00B712C7" w:rsidR="006C5137">
        <w:rPr>
          <w:rFonts w:ascii="Arial" w:hAnsi="Arial" w:eastAsia="MS Mincho" w:cs="Arial"/>
        </w:rPr>
        <w:t>at the annual growth in</w:t>
      </w:r>
      <w:r w:rsidRPr="00B712C7" w:rsidR="009C1AB5">
        <w:rPr>
          <w:rFonts w:ascii="Arial" w:hAnsi="Arial" w:eastAsia="MS Mincho" w:cs="Arial"/>
        </w:rPr>
        <w:t xml:space="preserve"> offender rates</w:t>
      </w:r>
      <w:r w:rsidRPr="00B712C7" w:rsidR="006C5137">
        <w:rPr>
          <w:rFonts w:ascii="Arial" w:hAnsi="Arial" w:eastAsia="MS Mincho" w:cs="Arial"/>
        </w:rPr>
        <w:t xml:space="preserve"> in particular</w:t>
      </w:r>
      <w:r w:rsidRPr="00B712C7">
        <w:rPr>
          <w:rFonts w:ascii="Arial" w:hAnsi="Arial" w:eastAsia="MS Mincho" w:cs="Arial"/>
        </w:rPr>
        <w:t xml:space="preserve"> has slowed over the past two years.  </w:t>
      </w:r>
    </w:p>
    <w:p w:rsidRPr="00B712C7" w:rsidR="008D0DE4" w:rsidP="00762568" w:rsidRDefault="008D0DE4" w14:paraId="4287E740" w14:textId="77777777">
      <w:pPr>
        <w:widowControl w:val="false"/>
        <w:suppressAutoHyphens/>
        <w:autoSpaceDE w:val="false"/>
        <w:autoSpaceDN w:val="false"/>
        <w:adjustRightInd w:val="false"/>
        <w:spacing w:before="170" w:after="57" w:line="300" w:lineRule="atLeast"/>
        <w:textAlignment w:val="center"/>
        <w:outlineLvl w:val="2"/>
        <w:rPr>
          <w:rFonts w:ascii="Arial" w:hAnsi="Arial" w:cs="Arial"/>
        </w:rPr>
      </w:pPr>
    </w:p>
    <w:p w:rsidRPr="00B712C7" w:rsidR="00B565A1" w:rsidP="00762568" w:rsidRDefault="00D90D28" w14:paraId="2495761C" w14:textId="7D81C9EC">
      <w:pPr>
        <w:widowControl w:val="false"/>
        <w:suppressAutoHyphens/>
        <w:autoSpaceDE w:val="false"/>
        <w:autoSpaceDN w:val="false"/>
        <w:adjustRightInd w:val="false"/>
        <w:spacing w:before="170" w:after="57" w:line="300" w:lineRule="atLeast"/>
        <w:textAlignment w:val="center"/>
        <w:outlineLvl w:val="2"/>
        <w:rPr>
          <w:rFonts w:ascii="Arial" w:hAnsi="Arial" w:cs="Arial"/>
          <w:noProof/>
          <w:lang w:eastAsia="en-AU"/>
        </w:rPr>
      </w:pPr>
      <w:r w:rsidRPr="00B712C7">
        <w:rPr>
          <w:rFonts w:ascii="Arial" w:hAnsi="Arial" w:cs="Arial"/>
          <w:noProof/>
          <w:lang w:eastAsia="en-AU"/>
        </w:rPr>
        <w:drawing>
          <wp:anchor distT="0" distB="0" distL="114300" distR="114300" simplePos="false" relativeHeight="251658240" behindDoc="false" locked="false" layoutInCell="true" allowOverlap="true" wp14:anchorId="2A8B0A60" wp14:editId="3319DF2A">
            <wp:simplePos x="0" y="0"/>
            <wp:positionH relativeFrom="margin">
              <wp:align>left</wp:align>
            </wp:positionH>
            <wp:positionV relativeFrom="paragraph">
              <wp:posOffset>298450</wp:posOffset>
            </wp:positionV>
            <wp:extent cx="5781675" cy="3543300"/>
            <wp:effectExtent l="0" t="0" r="0" b="0"/>
            <wp:wrapSquare wrapText="bothSides"/>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 name="Chart 1"/>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0:chart xmlns:ns0="http://schemas.openxmlformats.org/drawingml/2006/chart" r:id="rId9"/>
              </a:graphicData>
            </a:graphic>
            <wp14:sizeRelH relativeFrom="margin">
              <wp14:pctWidth>0</wp14:pctWidth>
            </wp14:sizeRelH>
            <wp14:sizeRelV relativeFrom="margin">
              <wp14:pctHeight>0</wp14:pctHeight>
            </wp14:sizeRelV>
          </wp:anchor>
        </w:drawing>
      </w:r>
      <w:r w:rsidRPr="00B712C7" w:rsidR="0027321B">
        <w:rPr>
          <w:rFonts w:ascii="Arial" w:hAnsi="Arial" w:cs="Arial"/>
        </w:rPr>
        <w:t xml:space="preserve">Figure </w:t>
      </w:r>
      <w:r w:rsidRPr="00B712C7" w:rsidR="002460AF">
        <w:rPr>
          <w:rFonts w:ascii="Arial" w:hAnsi="Arial" w:cs="Arial"/>
        </w:rPr>
        <w:t>2</w:t>
      </w:r>
      <w:r w:rsidRPr="00B712C7" w:rsidR="0027321B">
        <w:rPr>
          <w:rFonts w:ascii="Arial" w:hAnsi="Arial" w:cs="Arial"/>
        </w:rPr>
        <w:t xml:space="preserve">: </w:t>
      </w:r>
      <w:r w:rsidRPr="00B712C7" w:rsidR="002145D5">
        <w:rPr>
          <w:rFonts w:ascii="Arial" w:hAnsi="Arial" w:cs="Arial"/>
        </w:rPr>
        <w:t xml:space="preserve">Rate of drug use and possession offences and unique offenders, 2005 – 2014 </w:t>
      </w:r>
    </w:p>
    <w:p w:rsidRPr="00B712C7" w:rsidR="00A43EB0" w:rsidP="00C53386" w:rsidRDefault="00D90D28" w14:paraId="6B4A038F" w14:textId="77777777">
      <w:pPr>
        <w:widowControl w:val="false"/>
        <w:suppressAutoHyphens/>
        <w:autoSpaceDE w:val="false"/>
        <w:autoSpaceDN w:val="false"/>
        <w:adjustRightInd w:val="false"/>
        <w:spacing w:before="170" w:after="57" w:line="300" w:lineRule="atLeast"/>
        <w:textAlignment w:val="center"/>
        <w:outlineLvl w:val="2"/>
        <w:rPr>
          <w:rFonts w:ascii="Arial" w:hAnsi="Arial" w:cs="Arial"/>
        </w:rPr>
      </w:pPr>
      <w:r w:rsidRPr="00B712C7">
        <w:rPr>
          <w:rFonts w:ascii="Arial" w:hAnsi="Arial" w:cs="Arial"/>
        </w:rPr>
        <w:t xml:space="preserve"> </w:t>
      </w:r>
    </w:p>
    <w:p w:rsidR="00B712C7" w:rsidP="00C53386" w:rsidRDefault="00B712C7" w14:paraId="431A90C0" w14:textId="77777777">
      <w:pPr>
        <w:widowControl w:val="false"/>
        <w:suppressAutoHyphens/>
        <w:autoSpaceDE w:val="false"/>
        <w:autoSpaceDN w:val="false"/>
        <w:adjustRightInd w:val="false"/>
        <w:spacing w:before="170" w:after="57" w:line="300" w:lineRule="atLeast"/>
        <w:textAlignment w:val="center"/>
        <w:outlineLvl w:val="2"/>
        <w:rPr>
          <w:rFonts w:ascii="Arial" w:hAnsi="Arial" w:cs="Arial"/>
        </w:rPr>
      </w:pPr>
    </w:p>
    <w:p w:rsidRPr="00B712C7" w:rsidR="00DA1C93" w:rsidP="00C53386" w:rsidRDefault="004128BE" w14:paraId="120B7773" w14:textId="11776C5A">
      <w:pPr>
        <w:widowControl w:val="false"/>
        <w:suppressAutoHyphens/>
        <w:autoSpaceDE w:val="false"/>
        <w:autoSpaceDN w:val="false"/>
        <w:adjustRightInd w:val="false"/>
        <w:spacing w:before="170" w:after="57" w:line="300" w:lineRule="atLeast"/>
        <w:textAlignment w:val="center"/>
        <w:outlineLvl w:val="2"/>
        <w:rPr>
          <w:rFonts w:ascii="Arial" w:hAnsi="Arial" w:cs="Arial"/>
        </w:rPr>
      </w:pPr>
      <w:r w:rsidRPr="00B712C7">
        <w:rPr>
          <w:rFonts w:ascii="Arial" w:hAnsi="Arial" w:cs="Arial"/>
        </w:rPr>
        <w:lastRenderedPageBreak/>
        <w:t xml:space="preserve">Table </w:t>
      </w:r>
      <w:r w:rsidRPr="00B712C7" w:rsidR="00867AF9">
        <w:rPr>
          <w:rFonts w:ascii="Arial" w:hAnsi="Arial" w:cs="Arial"/>
        </w:rPr>
        <w:t>2</w:t>
      </w:r>
      <w:r w:rsidRPr="00B712C7" w:rsidR="00C53386">
        <w:rPr>
          <w:rFonts w:ascii="Arial" w:hAnsi="Arial" w:cs="Arial"/>
        </w:rPr>
        <w:t xml:space="preserve">: </w:t>
      </w:r>
      <w:r w:rsidRPr="00B712C7" w:rsidR="00CB1BD3">
        <w:rPr>
          <w:rFonts w:ascii="Arial" w:hAnsi="Arial" w:cs="Arial"/>
        </w:rPr>
        <w:t>Two, five and ten year trends in monthly offence and offender rates</w:t>
      </w:r>
      <w:r w:rsidRPr="00B712C7" w:rsidR="00C53386">
        <w:rPr>
          <w:rFonts w:ascii="Arial" w:hAnsi="Arial" w:cs="Arial"/>
        </w:rPr>
        <w:t xml:space="preserve"> </w:t>
      </w:r>
    </w:p>
    <w:p w:rsidRPr="00B712C7" w:rsidR="00261772" w:rsidP="00C53386" w:rsidRDefault="00261772" w14:paraId="5CF22455" w14:textId="77777777">
      <w:pPr>
        <w:widowControl w:val="false"/>
        <w:suppressAutoHyphens/>
        <w:autoSpaceDE w:val="false"/>
        <w:autoSpaceDN w:val="false"/>
        <w:adjustRightInd w:val="false"/>
        <w:spacing w:before="170" w:after="57" w:line="300" w:lineRule="atLeast"/>
        <w:textAlignment w:val="center"/>
        <w:outlineLvl w:val="2"/>
        <w:rPr>
          <w:rFonts w:ascii="Arial" w:hAnsi="Arial" w:cs="Arial"/>
        </w:rPr>
      </w:pPr>
    </w:p>
    <w:tbl>
      <w:tblPr>
        <w:tblStyle w:val="TableGrid"/>
        <w:tblW w:w="0" w:type="auto"/>
        <w:tblLook w:firstRow="1" w:lastRow="0" w:firstColumn="1" w:lastColumn="0" w:noHBand="0" w:noVBand="1" w:val="04A0"/>
      </w:tblPr>
      <w:tblGrid>
        <w:gridCol w:w="1760"/>
        <w:gridCol w:w="1185"/>
        <w:gridCol w:w="1185"/>
        <w:gridCol w:w="1185"/>
        <w:gridCol w:w="1185"/>
        <w:gridCol w:w="1185"/>
        <w:gridCol w:w="1185"/>
      </w:tblGrid>
      <w:tr w:rsidRPr="00B712C7" w:rsidR="00C53386" w:rsidTr="00DB4DE2" w14:paraId="66067E9D" w14:textId="77777777">
        <w:tc>
          <w:tcPr>
            <w:tcW w:w="1760" w:type="dxa"/>
            <w:tcBorders>
              <w:top w:val="nil"/>
              <w:left w:val="nil"/>
              <w:bottom w:val="nil"/>
              <w:right w:val="nil"/>
            </w:tcBorders>
          </w:tcPr>
          <w:p w:rsidRPr="00B712C7" w:rsidR="00DA1C93" w:rsidP="00DB4DE2" w:rsidRDefault="00DA1C93" w14:paraId="5068BB80" w14:textId="77777777">
            <w:pPr>
              <w:pStyle w:val="BodyTextSpaceAfter"/>
              <w:spacing w:after="0"/>
              <w:rPr>
                <w:rFonts w:ascii="Arial" w:hAnsi="Arial" w:cs="Arial"/>
                <w:sz w:val="20"/>
                <w:szCs w:val="20"/>
              </w:rPr>
            </w:pPr>
          </w:p>
        </w:tc>
        <w:tc>
          <w:tcPr>
            <w:tcW w:w="3555" w:type="dxa"/>
            <w:gridSpan w:val="3"/>
            <w:tcBorders>
              <w:left w:val="nil"/>
              <w:bottom w:val="single" w:color="auto" w:sz="4" w:space="0"/>
              <w:right w:val="nil"/>
            </w:tcBorders>
            <w:shd w:val="clear" w:color="auto" w:fill="881E76"/>
            <w:vAlign w:val="center"/>
          </w:tcPr>
          <w:p w:rsidRPr="00B712C7" w:rsidR="00C53386" w:rsidP="00DB4DE2" w:rsidRDefault="00C53386" w14:paraId="5CEE098C" w14:textId="77777777">
            <w:pPr>
              <w:pStyle w:val="BodyText"/>
              <w:jc w:val="center"/>
              <w:rPr>
                <w:rFonts w:ascii="Arial" w:hAnsi="Arial" w:cs="Arial"/>
                <w:b/>
                <w:color w:val="FFFFFF" w:themeColor="background1"/>
                <w:sz w:val="20"/>
                <w:szCs w:val="20"/>
              </w:rPr>
            </w:pPr>
            <w:r w:rsidRPr="00B712C7">
              <w:rPr>
                <w:rFonts w:ascii="Arial" w:hAnsi="Arial" w:cs="Arial"/>
                <w:b/>
                <w:color w:val="FFFFFF" w:themeColor="background1"/>
                <w:sz w:val="20"/>
                <w:szCs w:val="20"/>
              </w:rPr>
              <w:t>Offence Rate</w:t>
            </w:r>
          </w:p>
        </w:tc>
        <w:tc>
          <w:tcPr>
            <w:tcW w:w="3555" w:type="dxa"/>
            <w:gridSpan w:val="3"/>
            <w:tcBorders>
              <w:left w:val="nil"/>
              <w:bottom w:val="single" w:color="auto" w:sz="4" w:space="0"/>
              <w:right w:val="nil"/>
            </w:tcBorders>
            <w:shd w:val="clear" w:color="auto" w:fill="881E76"/>
            <w:vAlign w:val="center"/>
          </w:tcPr>
          <w:p w:rsidRPr="00B712C7" w:rsidR="00C53386" w:rsidP="00DB4DE2" w:rsidRDefault="00C53386" w14:paraId="32F116DA" w14:textId="77777777">
            <w:pPr>
              <w:pStyle w:val="BodyText"/>
              <w:jc w:val="center"/>
              <w:rPr>
                <w:rFonts w:ascii="Arial" w:hAnsi="Arial" w:cs="Arial"/>
                <w:b/>
                <w:color w:val="FFFFFF" w:themeColor="background1"/>
                <w:sz w:val="20"/>
                <w:szCs w:val="20"/>
              </w:rPr>
            </w:pPr>
            <w:r w:rsidRPr="00B712C7">
              <w:rPr>
                <w:rFonts w:ascii="Arial" w:hAnsi="Arial" w:cs="Arial"/>
                <w:b/>
                <w:color w:val="FFFFFF" w:themeColor="background1"/>
                <w:sz w:val="20"/>
                <w:szCs w:val="20"/>
              </w:rPr>
              <w:t>Offender Rate</w:t>
            </w:r>
          </w:p>
        </w:tc>
      </w:tr>
      <w:tr w:rsidRPr="00B712C7" w:rsidR="00C53386" w:rsidTr="00C53386" w14:paraId="1E6ACF04" w14:textId="77777777">
        <w:tc>
          <w:tcPr>
            <w:tcW w:w="1760" w:type="dxa"/>
            <w:tcBorders>
              <w:top w:val="nil"/>
              <w:left w:val="nil"/>
              <w:bottom w:val="single" w:color="auto" w:sz="4" w:space="0"/>
              <w:right w:val="nil"/>
            </w:tcBorders>
          </w:tcPr>
          <w:p w:rsidRPr="00B712C7" w:rsidR="00C53386" w:rsidP="00DB4DE2" w:rsidRDefault="00C53386" w14:paraId="22342993" w14:textId="77777777">
            <w:pPr>
              <w:pStyle w:val="BodyTextSpaceAfter"/>
              <w:spacing w:after="0"/>
              <w:rPr>
                <w:rFonts w:ascii="Arial" w:hAnsi="Arial" w:cs="Arial"/>
                <w:sz w:val="16"/>
                <w:szCs w:val="16"/>
              </w:rPr>
            </w:pPr>
          </w:p>
        </w:tc>
        <w:tc>
          <w:tcPr>
            <w:tcW w:w="1185" w:type="dxa"/>
            <w:tcBorders>
              <w:left w:val="nil"/>
              <w:bottom w:val="single" w:color="auto" w:sz="4" w:space="0"/>
              <w:right w:val="nil"/>
            </w:tcBorders>
            <w:shd w:val="clear" w:color="auto" w:fill="E4D2E2"/>
            <w:vAlign w:val="center"/>
          </w:tcPr>
          <w:p w:rsidRPr="00B712C7" w:rsidR="00C53386" w:rsidP="00C53386" w:rsidRDefault="00C53386" w14:paraId="462BAC64" w14:textId="77777777">
            <w:pPr>
              <w:pStyle w:val="BodyTextSpaceAfter"/>
              <w:spacing w:after="0"/>
              <w:jc w:val="center"/>
              <w:rPr>
                <w:rFonts w:ascii="Arial" w:hAnsi="Arial" w:cs="Arial"/>
                <w:color w:val="881E76"/>
                <w:sz w:val="16"/>
                <w:szCs w:val="16"/>
              </w:rPr>
            </w:pPr>
            <w:r w:rsidRPr="00B712C7">
              <w:rPr>
                <w:rFonts w:ascii="Arial" w:hAnsi="Arial" w:cs="Arial"/>
                <w:color w:val="881E76"/>
                <w:sz w:val="16"/>
                <w:szCs w:val="16"/>
              </w:rPr>
              <w:t>Trend</w:t>
            </w:r>
          </w:p>
        </w:tc>
        <w:tc>
          <w:tcPr>
            <w:tcW w:w="1185" w:type="dxa"/>
            <w:tcBorders>
              <w:left w:val="nil"/>
              <w:bottom w:val="single" w:color="auto" w:sz="4" w:space="0"/>
              <w:right w:val="nil"/>
            </w:tcBorders>
            <w:shd w:val="clear" w:color="auto" w:fill="E4D2E2"/>
            <w:vAlign w:val="center"/>
          </w:tcPr>
          <w:p w:rsidRPr="00B712C7" w:rsidR="00C53386" w:rsidP="00C53386" w:rsidRDefault="00C53386" w14:paraId="148156D1" w14:textId="77777777">
            <w:pPr>
              <w:pStyle w:val="BodyTextSpaceAfter"/>
              <w:spacing w:after="0"/>
              <w:jc w:val="center"/>
              <w:rPr>
                <w:rFonts w:ascii="Arial" w:hAnsi="Arial" w:cs="Arial"/>
                <w:color w:val="881E76"/>
                <w:sz w:val="16"/>
                <w:szCs w:val="16"/>
              </w:rPr>
            </w:pPr>
            <w:r w:rsidRPr="00B712C7">
              <w:rPr>
                <w:rFonts w:ascii="Arial" w:hAnsi="Arial" w:cs="Arial"/>
                <w:color w:val="881E76"/>
                <w:sz w:val="16"/>
                <w:szCs w:val="16"/>
              </w:rPr>
              <w:t>Average annual % change</w:t>
            </w:r>
          </w:p>
        </w:tc>
        <w:tc>
          <w:tcPr>
            <w:tcW w:w="1185" w:type="dxa"/>
            <w:tcBorders>
              <w:left w:val="nil"/>
              <w:bottom w:val="single" w:color="auto" w:sz="4" w:space="0"/>
              <w:right w:val="nil"/>
            </w:tcBorders>
            <w:shd w:val="clear" w:color="auto" w:fill="E4D2E2"/>
            <w:vAlign w:val="center"/>
          </w:tcPr>
          <w:p w:rsidRPr="00B712C7" w:rsidR="00C53386" w:rsidP="00C53386" w:rsidRDefault="00C53386" w14:paraId="40EC4546" w14:textId="77777777">
            <w:pPr>
              <w:pStyle w:val="BodyTextSpaceAfter"/>
              <w:spacing w:before="60" w:after="60"/>
              <w:jc w:val="center"/>
              <w:rPr>
                <w:rFonts w:ascii="Arial" w:hAnsi="Arial" w:cs="Arial"/>
                <w:i/>
                <w:color w:val="auto"/>
                <w:sz w:val="20"/>
                <w:szCs w:val="20"/>
              </w:rPr>
            </w:pPr>
            <w:r w:rsidRPr="00B712C7">
              <w:rPr>
                <w:rFonts w:ascii="Arial" w:hAnsi="Arial" w:cs="Arial"/>
                <w:color w:val="881E76"/>
                <w:sz w:val="16"/>
                <w:szCs w:val="16"/>
              </w:rPr>
              <w:t>Significance</w:t>
            </w:r>
            <w:r w:rsidRPr="00B712C7" w:rsidR="004128BE">
              <w:rPr>
                <w:rFonts w:ascii="Arial" w:hAnsi="Arial" w:cs="Arial"/>
                <w:color w:val="881E76"/>
                <w:sz w:val="16"/>
                <w:szCs w:val="16"/>
              </w:rPr>
              <w:t xml:space="preserve">    (</w:t>
            </w:r>
            <w:r w:rsidRPr="00B712C7" w:rsidR="004128BE">
              <w:rPr>
                <w:rFonts w:ascii="Arial" w:hAnsi="Arial" w:cs="Arial"/>
                <w:i/>
                <w:color w:val="881E76"/>
                <w:sz w:val="16"/>
                <w:szCs w:val="16"/>
              </w:rPr>
              <w:t>p)</w:t>
            </w:r>
          </w:p>
        </w:tc>
        <w:tc>
          <w:tcPr>
            <w:tcW w:w="1185" w:type="dxa"/>
            <w:tcBorders>
              <w:left w:val="nil"/>
              <w:bottom w:val="single" w:color="auto" w:sz="4" w:space="0"/>
              <w:right w:val="nil"/>
            </w:tcBorders>
            <w:vAlign w:val="center"/>
          </w:tcPr>
          <w:p w:rsidRPr="00B712C7" w:rsidR="00C53386" w:rsidP="00C53386" w:rsidRDefault="00C53386" w14:paraId="432A74DB" w14:textId="77777777">
            <w:pPr>
              <w:pStyle w:val="BodyTextSpaceAfter"/>
              <w:spacing w:after="0"/>
              <w:jc w:val="center"/>
              <w:rPr>
                <w:rFonts w:ascii="Arial" w:hAnsi="Arial" w:cs="Arial"/>
                <w:color w:val="881E76"/>
                <w:sz w:val="16"/>
                <w:szCs w:val="16"/>
              </w:rPr>
            </w:pPr>
            <w:r w:rsidRPr="00B712C7">
              <w:rPr>
                <w:rFonts w:ascii="Arial" w:hAnsi="Arial" w:cs="Arial"/>
                <w:color w:val="881E76"/>
                <w:sz w:val="16"/>
                <w:szCs w:val="16"/>
              </w:rPr>
              <w:t>Trend</w:t>
            </w:r>
          </w:p>
        </w:tc>
        <w:tc>
          <w:tcPr>
            <w:tcW w:w="1185" w:type="dxa"/>
            <w:tcBorders>
              <w:left w:val="nil"/>
              <w:bottom w:val="single" w:color="auto" w:sz="4" w:space="0"/>
              <w:right w:val="nil"/>
            </w:tcBorders>
            <w:vAlign w:val="center"/>
          </w:tcPr>
          <w:p w:rsidRPr="00B712C7" w:rsidR="00C53386" w:rsidP="00C53386" w:rsidRDefault="00C53386" w14:paraId="4ED1DB03" w14:textId="77777777">
            <w:pPr>
              <w:pStyle w:val="BodyTextSpaceAfter"/>
              <w:spacing w:after="0"/>
              <w:jc w:val="center"/>
              <w:rPr>
                <w:rFonts w:ascii="Arial" w:hAnsi="Arial" w:cs="Arial"/>
                <w:color w:val="881E76"/>
                <w:sz w:val="16"/>
                <w:szCs w:val="16"/>
              </w:rPr>
            </w:pPr>
            <w:r w:rsidRPr="00B712C7">
              <w:rPr>
                <w:rFonts w:ascii="Arial" w:hAnsi="Arial" w:cs="Arial"/>
                <w:color w:val="881E76"/>
                <w:sz w:val="16"/>
                <w:szCs w:val="16"/>
              </w:rPr>
              <w:t>Average annual % change</w:t>
            </w:r>
          </w:p>
        </w:tc>
        <w:tc>
          <w:tcPr>
            <w:tcW w:w="1185" w:type="dxa"/>
            <w:tcBorders>
              <w:left w:val="nil"/>
              <w:bottom w:val="single" w:color="auto" w:sz="4" w:space="0"/>
              <w:right w:val="nil"/>
            </w:tcBorders>
            <w:vAlign w:val="center"/>
          </w:tcPr>
          <w:p w:rsidRPr="00B712C7" w:rsidR="00C53386" w:rsidP="00C53386" w:rsidRDefault="00C53386" w14:paraId="63CBD9AE" w14:textId="77777777">
            <w:pPr>
              <w:pStyle w:val="BodyTextSpaceAfter"/>
              <w:spacing w:after="0"/>
              <w:jc w:val="center"/>
              <w:rPr>
                <w:rFonts w:ascii="Arial" w:hAnsi="Arial" w:cs="Arial"/>
                <w:i/>
                <w:color w:val="881E76"/>
                <w:sz w:val="16"/>
                <w:szCs w:val="16"/>
              </w:rPr>
            </w:pPr>
            <w:r w:rsidRPr="00B712C7">
              <w:rPr>
                <w:rFonts w:ascii="Arial" w:hAnsi="Arial" w:cs="Arial"/>
                <w:color w:val="881E76"/>
                <w:sz w:val="16"/>
                <w:szCs w:val="16"/>
              </w:rPr>
              <w:t>Significance</w:t>
            </w:r>
            <w:r w:rsidRPr="00B712C7" w:rsidR="004128BE">
              <w:rPr>
                <w:rFonts w:ascii="Arial" w:hAnsi="Arial" w:cs="Arial"/>
                <w:color w:val="881E76"/>
                <w:sz w:val="16"/>
                <w:szCs w:val="16"/>
              </w:rPr>
              <w:t xml:space="preserve">   (</w:t>
            </w:r>
            <w:r w:rsidRPr="00B712C7" w:rsidR="004128BE">
              <w:rPr>
                <w:rFonts w:ascii="Arial" w:hAnsi="Arial" w:cs="Arial"/>
                <w:i/>
                <w:color w:val="881E76"/>
                <w:sz w:val="16"/>
                <w:szCs w:val="16"/>
              </w:rPr>
              <w:t>p)</w:t>
            </w:r>
          </w:p>
        </w:tc>
      </w:tr>
      <w:tr w:rsidRPr="00B712C7" w:rsidR="00C53386" w:rsidTr="00CB1BD3" w14:paraId="161857E9" w14:textId="77777777">
        <w:tc>
          <w:tcPr>
            <w:tcW w:w="1760" w:type="dxa"/>
            <w:tcBorders>
              <w:left w:val="nil"/>
              <w:bottom w:val="nil"/>
              <w:right w:val="nil"/>
            </w:tcBorders>
          </w:tcPr>
          <w:p w:rsidRPr="00B712C7" w:rsidR="00C53386" w:rsidP="00DB4DE2" w:rsidRDefault="00C53386" w14:paraId="02948806" w14:textId="77777777">
            <w:pPr>
              <w:pStyle w:val="BodyTextSpaceAfter"/>
              <w:spacing w:before="60" w:after="60"/>
              <w:rPr>
                <w:rFonts w:ascii="Arial" w:hAnsi="Arial" w:cs="Arial"/>
                <w:sz w:val="20"/>
                <w:szCs w:val="20"/>
              </w:rPr>
            </w:pPr>
            <w:r w:rsidRPr="00B712C7">
              <w:rPr>
                <w:rFonts w:ascii="Arial" w:hAnsi="Arial" w:cs="Arial"/>
                <w:sz w:val="20"/>
                <w:szCs w:val="20"/>
              </w:rPr>
              <w:t>2 year trend       (2013 – 2014)</w:t>
            </w:r>
          </w:p>
        </w:tc>
        <w:tc>
          <w:tcPr>
            <w:tcW w:w="1185" w:type="dxa"/>
            <w:tcBorders>
              <w:left w:val="nil"/>
              <w:bottom w:val="nil"/>
              <w:right w:val="nil"/>
            </w:tcBorders>
            <w:shd w:val="clear" w:color="auto" w:fill="E4D2E2"/>
            <w:vAlign w:val="center"/>
          </w:tcPr>
          <w:p w:rsidRPr="00B712C7" w:rsidR="00C53386" w:rsidP="00DB4DE2" w:rsidRDefault="00CB1BD3" w14:paraId="1733112B" w14:textId="77777777">
            <w:pPr>
              <w:pStyle w:val="BodyTextSpaceAfter"/>
              <w:spacing w:before="60" w:after="60"/>
              <w:jc w:val="center"/>
              <w:rPr>
                <w:rFonts w:ascii="Arial" w:hAnsi="Arial" w:cs="Arial"/>
                <w:color w:val="auto"/>
                <w:sz w:val="20"/>
                <w:szCs w:val="20"/>
              </w:rPr>
            </w:pPr>
            <w:r w:rsidRPr="00B712C7">
              <w:rPr>
                <w:rFonts w:ascii="Arial" w:hAnsi="Arial" w:cs="Arial"/>
                <w:color w:val="auto"/>
                <w:sz w:val="20"/>
                <w:szCs w:val="20"/>
              </w:rPr>
              <w:t>Stable</w:t>
            </w:r>
          </w:p>
        </w:tc>
        <w:tc>
          <w:tcPr>
            <w:tcW w:w="1185" w:type="dxa"/>
            <w:tcBorders>
              <w:left w:val="nil"/>
              <w:bottom w:val="nil"/>
              <w:right w:val="nil"/>
            </w:tcBorders>
            <w:shd w:val="clear" w:color="auto" w:fill="E4D2E2"/>
            <w:vAlign w:val="center"/>
          </w:tcPr>
          <w:p w:rsidRPr="00B712C7" w:rsidR="00C53386" w:rsidP="00DB4DE2" w:rsidRDefault="00CB1BD3" w14:paraId="1D2660F0" w14:textId="77777777">
            <w:pPr>
              <w:pStyle w:val="BodyTextSpaceAfter"/>
              <w:spacing w:before="60" w:after="60"/>
              <w:jc w:val="center"/>
              <w:rPr>
                <w:rFonts w:ascii="Arial" w:hAnsi="Arial" w:cs="Arial"/>
                <w:sz w:val="20"/>
                <w:szCs w:val="20"/>
              </w:rPr>
            </w:pPr>
            <w:r w:rsidRPr="00B712C7">
              <w:rPr>
                <w:rFonts w:ascii="Arial" w:hAnsi="Arial" w:cs="Arial"/>
                <w:sz w:val="20"/>
                <w:szCs w:val="20"/>
              </w:rPr>
              <w:t>-</w:t>
            </w:r>
          </w:p>
        </w:tc>
        <w:tc>
          <w:tcPr>
            <w:tcW w:w="1185" w:type="dxa"/>
            <w:tcBorders>
              <w:left w:val="nil"/>
              <w:bottom w:val="nil"/>
              <w:right w:val="nil"/>
            </w:tcBorders>
            <w:shd w:val="clear" w:color="auto" w:fill="E4D2E2"/>
            <w:vAlign w:val="center"/>
          </w:tcPr>
          <w:p w:rsidRPr="00B712C7" w:rsidR="00C53386" w:rsidP="00CB1BD3" w:rsidRDefault="00CB1BD3" w14:paraId="64619826" w14:textId="77777777">
            <w:pPr>
              <w:pStyle w:val="BodyTextSpaceAfter"/>
              <w:spacing w:before="60" w:after="60"/>
              <w:jc w:val="center"/>
              <w:rPr>
                <w:rFonts w:ascii="Arial" w:hAnsi="Arial" w:cs="Arial"/>
                <w:color w:val="auto"/>
                <w:sz w:val="20"/>
                <w:szCs w:val="20"/>
              </w:rPr>
            </w:pPr>
            <w:r w:rsidRPr="00B712C7">
              <w:rPr>
                <w:rFonts w:ascii="Arial" w:hAnsi="Arial" w:cs="Arial"/>
                <w:color w:val="auto"/>
                <w:sz w:val="20"/>
                <w:szCs w:val="20"/>
              </w:rPr>
              <w:t>Not Significant</w:t>
            </w:r>
          </w:p>
        </w:tc>
        <w:tc>
          <w:tcPr>
            <w:tcW w:w="1185" w:type="dxa"/>
            <w:tcBorders>
              <w:left w:val="nil"/>
              <w:bottom w:val="nil"/>
              <w:right w:val="nil"/>
            </w:tcBorders>
            <w:vAlign w:val="center"/>
          </w:tcPr>
          <w:p w:rsidRPr="00B712C7" w:rsidR="00C53386" w:rsidP="00DB4DE2" w:rsidRDefault="00CB1BD3" w14:paraId="0F16D628" w14:textId="77777777">
            <w:pPr>
              <w:pStyle w:val="BodyTextSpaceAfter"/>
              <w:spacing w:before="60" w:after="60"/>
              <w:jc w:val="center"/>
              <w:rPr>
                <w:rFonts w:ascii="Arial" w:hAnsi="Arial" w:cs="Arial"/>
                <w:color w:val="auto"/>
                <w:sz w:val="20"/>
                <w:szCs w:val="20"/>
              </w:rPr>
            </w:pPr>
            <w:r w:rsidRPr="00B712C7">
              <w:rPr>
                <w:rFonts w:ascii="Arial" w:hAnsi="Arial" w:cs="Arial"/>
                <w:color w:val="auto"/>
                <w:sz w:val="20"/>
                <w:szCs w:val="20"/>
              </w:rPr>
              <w:t>Stable</w:t>
            </w:r>
          </w:p>
        </w:tc>
        <w:tc>
          <w:tcPr>
            <w:tcW w:w="1185" w:type="dxa"/>
            <w:tcBorders>
              <w:left w:val="nil"/>
              <w:bottom w:val="nil"/>
              <w:right w:val="nil"/>
            </w:tcBorders>
            <w:vAlign w:val="center"/>
          </w:tcPr>
          <w:p w:rsidRPr="00B712C7" w:rsidR="00C53386" w:rsidP="00DB4DE2" w:rsidRDefault="00CB1BD3" w14:paraId="7A2262AB" w14:textId="77777777">
            <w:pPr>
              <w:pStyle w:val="BodyTextSpaceAfter"/>
              <w:spacing w:before="60" w:after="60"/>
              <w:jc w:val="center"/>
              <w:rPr>
                <w:rFonts w:ascii="Arial" w:hAnsi="Arial" w:cs="Arial"/>
                <w:sz w:val="20"/>
                <w:szCs w:val="20"/>
              </w:rPr>
            </w:pPr>
            <w:r w:rsidRPr="00B712C7">
              <w:rPr>
                <w:rFonts w:ascii="Arial" w:hAnsi="Arial" w:cs="Arial"/>
                <w:sz w:val="20"/>
                <w:szCs w:val="20"/>
              </w:rPr>
              <w:t>-</w:t>
            </w:r>
          </w:p>
        </w:tc>
        <w:tc>
          <w:tcPr>
            <w:tcW w:w="1185" w:type="dxa"/>
            <w:tcBorders>
              <w:left w:val="nil"/>
              <w:bottom w:val="nil"/>
              <w:right w:val="nil"/>
            </w:tcBorders>
            <w:vAlign w:val="center"/>
          </w:tcPr>
          <w:p w:rsidRPr="00B712C7" w:rsidR="00C53386" w:rsidP="00CB1BD3" w:rsidRDefault="00CB1BD3" w14:paraId="1430256C" w14:textId="77777777">
            <w:pPr>
              <w:pStyle w:val="BodyTextSpaceAfter"/>
              <w:spacing w:before="60" w:after="60"/>
              <w:jc w:val="center"/>
              <w:rPr>
                <w:rFonts w:ascii="Arial" w:hAnsi="Arial" w:cs="Arial"/>
                <w:sz w:val="20"/>
                <w:szCs w:val="20"/>
              </w:rPr>
            </w:pPr>
            <w:r w:rsidRPr="00B712C7">
              <w:rPr>
                <w:rFonts w:ascii="Arial" w:hAnsi="Arial" w:cs="Arial"/>
                <w:sz w:val="20"/>
                <w:szCs w:val="20"/>
              </w:rPr>
              <w:t>Not Significant</w:t>
            </w:r>
          </w:p>
        </w:tc>
      </w:tr>
      <w:tr w:rsidRPr="00B712C7" w:rsidR="00C53386" w:rsidTr="00CB1BD3" w14:paraId="52913E90" w14:textId="77777777">
        <w:tc>
          <w:tcPr>
            <w:tcW w:w="1760" w:type="dxa"/>
            <w:tcBorders>
              <w:top w:val="nil"/>
              <w:left w:val="nil"/>
              <w:bottom w:val="nil"/>
              <w:right w:val="nil"/>
            </w:tcBorders>
          </w:tcPr>
          <w:p w:rsidRPr="00B712C7" w:rsidR="00C53386" w:rsidP="00DB4DE2" w:rsidRDefault="00C53386" w14:paraId="3EF1378C" w14:textId="77777777">
            <w:pPr>
              <w:pStyle w:val="BodyTextSpaceAfter"/>
              <w:spacing w:before="60" w:after="60"/>
              <w:rPr>
                <w:rFonts w:ascii="Arial" w:hAnsi="Arial" w:cs="Arial"/>
                <w:sz w:val="20"/>
                <w:szCs w:val="20"/>
              </w:rPr>
            </w:pPr>
            <w:r w:rsidRPr="00B712C7">
              <w:rPr>
                <w:rFonts w:ascii="Arial" w:hAnsi="Arial" w:cs="Arial"/>
                <w:sz w:val="20"/>
                <w:szCs w:val="20"/>
              </w:rPr>
              <w:t xml:space="preserve">5 year trend       (2010 – 2014) </w:t>
            </w:r>
          </w:p>
        </w:tc>
        <w:tc>
          <w:tcPr>
            <w:tcW w:w="1185" w:type="dxa"/>
            <w:tcBorders>
              <w:top w:val="nil"/>
              <w:left w:val="nil"/>
              <w:bottom w:val="nil"/>
              <w:right w:val="nil"/>
            </w:tcBorders>
            <w:shd w:val="clear" w:color="auto" w:fill="E4D2E2"/>
            <w:vAlign w:val="center"/>
          </w:tcPr>
          <w:p w:rsidRPr="00B712C7" w:rsidR="00C53386" w:rsidP="00DB4DE2" w:rsidRDefault="00C53386" w14:paraId="46ECCEA6" w14:textId="77777777">
            <w:pPr>
              <w:pStyle w:val="BodyTextSpaceAfter"/>
              <w:spacing w:before="60" w:after="60"/>
              <w:jc w:val="center"/>
              <w:rPr>
                <w:rFonts w:ascii="Arial" w:hAnsi="Arial" w:cs="Arial"/>
                <w:color w:val="auto"/>
                <w:sz w:val="20"/>
                <w:szCs w:val="20"/>
              </w:rPr>
            </w:pPr>
            <w:r w:rsidRPr="00B712C7">
              <w:rPr>
                <w:rFonts w:ascii="Arial" w:hAnsi="Arial" w:cs="Arial"/>
                <w:color w:val="auto"/>
                <w:sz w:val="20"/>
                <w:szCs w:val="20"/>
              </w:rPr>
              <w:t>Increased</w:t>
            </w:r>
          </w:p>
        </w:tc>
        <w:tc>
          <w:tcPr>
            <w:tcW w:w="1185" w:type="dxa"/>
            <w:tcBorders>
              <w:top w:val="nil"/>
              <w:left w:val="nil"/>
              <w:bottom w:val="nil"/>
              <w:right w:val="nil"/>
            </w:tcBorders>
            <w:shd w:val="clear" w:color="auto" w:fill="E4D2E2"/>
            <w:vAlign w:val="center"/>
          </w:tcPr>
          <w:p w:rsidRPr="00B712C7" w:rsidR="00C53386" w:rsidP="00DB4DE2" w:rsidRDefault="00E63F5B" w14:paraId="05C09983" w14:textId="77777777">
            <w:pPr>
              <w:pStyle w:val="BodyTextSpaceAfter"/>
              <w:spacing w:before="60" w:after="60"/>
              <w:jc w:val="center"/>
              <w:rPr>
                <w:rFonts w:ascii="Arial" w:hAnsi="Arial" w:cs="Arial"/>
                <w:sz w:val="20"/>
                <w:szCs w:val="20"/>
              </w:rPr>
            </w:pPr>
            <w:r w:rsidRPr="00B712C7">
              <w:rPr>
                <w:rFonts w:ascii="Arial" w:hAnsi="Arial" w:cs="Arial"/>
                <w:sz w:val="20"/>
                <w:szCs w:val="20"/>
              </w:rPr>
              <w:t>14.2</w:t>
            </w:r>
            <w:r w:rsidRPr="00B712C7" w:rsidR="00C53386">
              <w:rPr>
                <w:rFonts w:ascii="Arial" w:hAnsi="Arial" w:cs="Arial"/>
                <w:sz w:val="20"/>
                <w:szCs w:val="20"/>
              </w:rPr>
              <w:t>%</w:t>
            </w:r>
          </w:p>
        </w:tc>
        <w:tc>
          <w:tcPr>
            <w:tcW w:w="1185" w:type="dxa"/>
            <w:tcBorders>
              <w:top w:val="nil"/>
              <w:left w:val="nil"/>
              <w:bottom w:val="nil"/>
              <w:right w:val="nil"/>
            </w:tcBorders>
            <w:shd w:val="clear" w:color="auto" w:fill="E4D2E2"/>
            <w:vAlign w:val="center"/>
          </w:tcPr>
          <w:p w:rsidRPr="00B712C7" w:rsidR="00C53386" w:rsidP="00CB1BD3" w:rsidRDefault="00CB1BD3" w14:paraId="48CDFCF3" w14:textId="77777777">
            <w:pPr>
              <w:pStyle w:val="BodyTextSpaceAfter"/>
              <w:spacing w:before="60" w:after="60"/>
              <w:jc w:val="center"/>
              <w:rPr>
                <w:rFonts w:ascii="Arial" w:hAnsi="Arial" w:cs="Arial"/>
                <w:color w:val="auto"/>
                <w:sz w:val="20"/>
                <w:szCs w:val="20"/>
              </w:rPr>
            </w:pPr>
            <w:r w:rsidRPr="00B712C7">
              <w:rPr>
                <w:rFonts w:ascii="Arial" w:hAnsi="Arial" w:cs="Arial"/>
                <w:color w:val="auto"/>
                <w:sz w:val="20"/>
                <w:szCs w:val="20"/>
              </w:rPr>
              <w:t>&lt;.0001</w:t>
            </w:r>
          </w:p>
        </w:tc>
        <w:tc>
          <w:tcPr>
            <w:tcW w:w="1185" w:type="dxa"/>
            <w:tcBorders>
              <w:top w:val="nil"/>
              <w:left w:val="nil"/>
              <w:bottom w:val="nil"/>
              <w:right w:val="nil"/>
            </w:tcBorders>
            <w:vAlign w:val="center"/>
          </w:tcPr>
          <w:p w:rsidRPr="00B712C7" w:rsidR="00C53386" w:rsidP="00DB4DE2" w:rsidRDefault="00C53386" w14:paraId="216DBF42" w14:textId="77777777">
            <w:pPr>
              <w:pStyle w:val="BodyTextSpaceAfter"/>
              <w:spacing w:before="60" w:after="60"/>
              <w:jc w:val="center"/>
              <w:rPr>
                <w:rFonts w:ascii="Arial" w:hAnsi="Arial" w:cs="Arial"/>
                <w:color w:val="auto"/>
                <w:sz w:val="20"/>
                <w:szCs w:val="20"/>
              </w:rPr>
            </w:pPr>
            <w:r w:rsidRPr="00B712C7">
              <w:rPr>
                <w:rFonts w:ascii="Arial" w:hAnsi="Arial" w:cs="Arial"/>
                <w:color w:val="auto"/>
                <w:sz w:val="20"/>
                <w:szCs w:val="20"/>
              </w:rPr>
              <w:t>Increased</w:t>
            </w:r>
          </w:p>
        </w:tc>
        <w:tc>
          <w:tcPr>
            <w:tcW w:w="1185" w:type="dxa"/>
            <w:tcBorders>
              <w:top w:val="nil"/>
              <w:left w:val="nil"/>
              <w:bottom w:val="nil"/>
              <w:right w:val="nil"/>
            </w:tcBorders>
            <w:vAlign w:val="center"/>
          </w:tcPr>
          <w:p w:rsidRPr="00B712C7" w:rsidR="00C53386" w:rsidP="00DB4DE2" w:rsidRDefault="00E63F5B" w14:paraId="0A4F1DAC" w14:textId="77777777">
            <w:pPr>
              <w:pStyle w:val="BodyTextSpaceAfter"/>
              <w:spacing w:before="60" w:after="60"/>
              <w:jc w:val="center"/>
              <w:rPr>
                <w:rFonts w:ascii="Arial" w:hAnsi="Arial" w:cs="Arial"/>
                <w:sz w:val="20"/>
                <w:szCs w:val="20"/>
              </w:rPr>
            </w:pPr>
            <w:r w:rsidRPr="00B712C7">
              <w:rPr>
                <w:rFonts w:ascii="Arial" w:hAnsi="Arial" w:cs="Arial"/>
                <w:sz w:val="20"/>
                <w:szCs w:val="20"/>
              </w:rPr>
              <w:t>10.1</w:t>
            </w:r>
            <w:r w:rsidRPr="00B712C7" w:rsidR="00C53386">
              <w:rPr>
                <w:rFonts w:ascii="Arial" w:hAnsi="Arial" w:cs="Arial"/>
                <w:sz w:val="20"/>
                <w:szCs w:val="20"/>
              </w:rPr>
              <w:t>%</w:t>
            </w:r>
          </w:p>
        </w:tc>
        <w:tc>
          <w:tcPr>
            <w:tcW w:w="1185" w:type="dxa"/>
            <w:tcBorders>
              <w:top w:val="nil"/>
              <w:left w:val="nil"/>
              <w:bottom w:val="nil"/>
              <w:right w:val="nil"/>
            </w:tcBorders>
            <w:vAlign w:val="center"/>
          </w:tcPr>
          <w:p w:rsidRPr="00B712C7" w:rsidR="00C53386" w:rsidP="00CB1BD3" w:rsidRDefault="00CB1BD3" w14:paraId="18320908" w14:textId="77777777">
            <w:pPr>
              <w:pStyle w:val="BodyTextSpaceAfter"/>
              <w:spacing w:before="60" w:after="60"/>
              <w:jc w:val="center"/>
              <w:rPr>
                <w:rFonts w:ascii="Arial" w:hAnsi="Arial" w:cs="Arial"/>
                <w:sz w:val="20"/>
                <w:szCs w:val="20"/>
              </w:rPr>
            </w:pPr>
            <w:r w:rsidRPr="00B712C7">
              <w:rPr>
                <w:rFonts w:ascii="Arial" w:hAnsi="Arial" w:cs="Arial"/>
                <w:sz w:val="20"/>
                <w:szCs w:val="20"/>
              </w:rPr>
              <w:t>&lt;.0001</w:t>
            </w:r>
          </w:p>
        </w:tc>
      </w:tr>
      <w:tr w:rsidRPr="00B712C7" w:rsidR="00C53386" w:rsidTr="00CB1BD3" w14:paraId="665A85BC" w14:textId="77777777">
        <w:tc>
          <w:tcPr>
            <w:tcW w:w="1760" w:type="dxa"/>
            <w:tcBorders>
              <w:top w:val="nil"/>
              <w:left w:val="nil"/>
              <w:bottom w:val="single" w:color="auto" w:sz="4" w:space="0"/>
              <w:right w:val="nil"/>
            </w:tcBorders>
          </w:tcPr>
          <w:p w:rsidRPr="00B712C7" w:rsidR="00C53386" w:rsidP="00DB4DE2" w:rsidRDefault="00C53386" w14:paraId="2919FF2B" w14:textId="77777777">
            <w:pPr>
              <w:pStyle w:val="BodyTextSpaceAfter"/>
              <w:spacing w:before="60" w:after="60"/>
              <w:rPr>
                <w:rFonts w:ascii="Arial" w:hAnsi="Arial" w:cs="Arial"/>
                <w:sz w:val="20"/>
                <w:szCs w:val="20"/>
              </w:rPr>
            </w:pPr>
            <w:r w:rsidRPr="00B712C7">
              <w:rPr>
                <w:rFonts w:ascii="Arial" w:hAnsi="Arial" w:cs="Arial"/>
                <w:sz w:val="20"/>
                <w:szCs w:val="20"/>
              </w:rPr>
              <w:t>10 year trend    (2005 – 2014)</w:t>
            </w:r>
          </w:p>
        </w:tc>
        <w:tc>
          <w:tcPr>
            <w:tcW w:w="1185" w:type="dxa"/>
            <w:tcBorders>
              <w:top w:val="nil"/>
              <w:left w:val="nil"/>
              <w:bottom w:val="single" w:color="auto" w:sz="4" w:space="0"/>
              <w:right w:val="nil"/>
            </w:tcBorders>
            <w:shd w:val="clear" w:color="auto" w:fill="E4D2E2"/>
            <w:vAlign w:val="center"/>
          </w:tcPr>
          <w:p w:rsidRPr="00B712C7" w:rsidR="00C53386" w:rsidP="00DB4DE2" w:rsidRDefault="00CB1BD3" w14:paraId="655EDAD4" w14:textId="77777777">
            <w:pPr>
              <w:pStyle w:val="BodyTextSpaceAfter"/>
              <w:spacing w:before="60" w:after="60"/>
              <w:jc w:val="center"/>
              <w:rPr>
                <w:rFonts w:ascii="Arial" w:hAnsi="Arial" w:cs="Arial"/>
                <w:color w:val="auto"/>
                <w:sz w:val="20"/>
                <w:szCs w:val="20"/>
              </w:rPr>
            </w:pPr>
            <w:r w:rsidRPr="00B712C7">
              <w:rPr>
                <w:rFonts w:ascii="Arial" w:hAnsi="Arial" w:cs="Arial"/>
                <w:color w:val="auto"/>
                <w:sz w:val="20"/>
                <w:szCs w:val="20"/>
              </w:rPr>
              <w:t>Increased</w:t>
            </w:r>
          </w:p>
        </w:tc>
        <w:tc>
          <w:tcPr>
            <w:tcW w:w="1185" w:type="dxa"/>
            <w:tcBorders>
              <w:top w:val="nil"/>
              <w:left w:val="nil"/>
              <w:bottom w:val="single" w:color="auto" w:sz="4" w:space="0"/>
              <w:right w:val="nil"/>
            </w:tcBorders>
            <w:shd w:val="clear" w:color="auto" w:fill="E4D2E2"/>
            <w:vAlign w:val="center"/>
          </w:tcPr>
          <w:p w:rsidRPr="00B712C7" w:rsidR="00C53386" w:rsidP="00DB4DE2" w:rsidRDefault="00E63F5B" w14:paraId="02FDD86D" w14:textId="77777777">
            <w:pPr>
              <w:pStyle w:val="BodyTextSpaceAfter"/>
              <w:spacing w:before="60" w:after="60"/>
              <w:jc w:val="center"/>
              <w:rPr>
                <w:rFonts w:ascii="Arial" w:hAnsi="Arial" w:cs="Arial"/>
                <w:sz w:val="20"/>
                <w:szCs w:val="20"/>
              </w:rPr>
            </w:pPr>
            <w:r w:rsidRPr="00B712C7">
              <w:rPr>
                <w:rFonts w:ascii="Arial" w:hAnsi="Arial" w:cs="Arial"/>
                <w:sz w:val="20"/>
                <w:szCs w:val="20"/>
              </w:rPr>
              <w:t>6.3%</w:t>
            </w:r>
          </w:p>
        </w:tc>
        <w:tc>
          <w:tcPr>
            <w:tcW w:w="1185" w:type="dxa"/>
            <w:tcBorders>
              <w:top w:val="nil"/>
              <w:left w:val="nil"/>
              <w:bottom w:val="single" w:color="auto" w:sz="4" w:space="0"/>
              <w:right w:val="nil"/>
            </w:tcBorders>
            <w:shd w:val="clear" w:color="auto" w:fill="E4D2E2"/>
            <w:vAlign w:val="center"/>
          </w:tcPr>
          <w:p w:rsidRPr="00B712C7" w:rsidR="00C53386" w:rsidP="00CB1BD3" w:rsidRDefault="00CB1BD3" w14:paraId="5F64862B" w14:textId="77777777">
            <w:pPr>
              <w:pStyle w:val="BodyTextSpaceAfter"/>
              <w:spacing w:before="60" w:after="60"/>
              <w:jc w:val="center"/>
              <w:rPr>
                <w:rFonts w:ascii="Arial" w:hAnsi="Arial" w:cs="Arial"/>
                <w:color w:val="auto"/>
                <w:sz w:val="20"/>
                <w:szCs w:val="20"/>
              </w:rPr>
            </w:pPr>
            <w:r w:rsidRPr="00B712C7">
              <w:rPr>
                <w:rFonts w:ascii="Arial" w:hAnsi="Arial" w:cs="Arial"/>
                <w:color w:val="auto"/>
                <w:sz w:val="20"/>
                <w:szCs w:val="20"/>
              </w:rPr>
              <w:t>&lt;.0001</w:t>
            </w:r>
          </w:p>
        </w:tc>
        <w:tc>
          <w:tcPr>
            <w:tcW w:w="1185" w:type="dxa"/>
            <w:tcBorders>
              <w:top w:val="nil"/>
              <w:left w:val="nil"/>
              <w:bottom w:val="single" w:color="auto" w:sz="4" w:space="0"/>
              <w:right w:val="nil"/>
            </w:tcBorders>
            <w:vAlign w:val="center"/>
          </w:tcPr>
          <w:p w:rsidRPr="00B712C7" w:rsidR="00C53386" w:rsidP="00DB4DE2" w:rsidRDefault="00C53386" w14:paraId="2E7BFEC9" w14:textId="77777777">
            <w:pPr>
              <w:pStyle w:val="BodyTextSpaceAfter"/>
              <w:spacing w:before="60" w:after="60"/>
              <w:jc w:val="center"/>
              <w:rPr>
                <w:rFonts w:ascii="Arial" w:hAnsi="Arial" w:cs="Arial"/>
                <w:color w:val="auto"/>
                <w:sz w:val="20"/>
                <w:szCs w:val="20"/>
              </w:rPr>
            </w:pPr>
            <w:r w:rsidRPr="00B712C7">
              <w:rPr>
                <w:rFonts w:ascii="Arial" w:hAnsi="Arial" w:cs="Arial"/>
                <w:color w:val="auto"/>
                <w:sz w:val="20"/>
                <w:szCs w:val="20"/>
              </w:rPr>
              <w:t>Increased</w:t>
            </w:r>
          </w:p>
        </w:tc>
        <w:tc>
          <w:tcPr>
            <w:tcW w:w="1185" w:type="dxa"/>
            <w:tcBorders>
              <w:top w:val="nil"/>
              <w:left w:val="nil"/>
              <w:bottom w:val="single" w:color="auto" w:sz="4" w:space="0"/>
              <w:right w:val="nil"/>
            </w:tcBorders>
            <w:vAlign w:val="center"/>
          </w:tcPr>
          <w:p w:rsidRPr="00B712C7" w:rsidR="00C53386" w:rsidP="00DB4DE2" w:rsidRDefault="00E63F5B" w14:paraId="65EA235C" w14:textId="77777777">
            <w:pPr>
              <w:pStyle w:val="BodyTextSpaceAfter"/>
              <w:spacing w:before="60" w:after="60"/>
              <w:jc w:val="center"/>
              <w:rPr>
                <w:rFonts w:ascii="Arial" w:hAnsi="Arial" w:cs="Arial"/>
                <w:sz w:val="20"/>
                <w:szCs w:val="20"/>
              </w:rPr>
            </w:pPr>
            <w:r w:rsidRPr="00B712C7">
              <w:rPr>
                <w:rFonts w:ascii="Arial" w:hAnsi="Arial" w:cs="Arial"/>
                <w:sz w:val="20"/>
                <w:szCs w:val="20"/>
              </w:rPr>
              <w:t>4.6</w:t>
            </w:r>
            <w:r w:rsidRPr="00B712C7" w:rsidR="00C53386">
              <w:rPr>
                <w:rFonts w:ascii="Arial" w:hAnsi="Arial" w:cs="Arial"/>
                <w:sz w:val="20"/>
                <w:szCs w:val="20"/>
              </w:rPr>
              <w:t>%</w:t>
            </w:r>
          </w:p>
        </w:tc>
        <w:tc>
          <w:tcPr>
            <w:tcW w:w="1185" w:type="dxa"/>
            <w:tcBorders>
              <w:top w:val="nil"/>
              <w:left w:val="nil"/>
              <w:bottom w:val="single" w:color="auto" w:sz="4" w:space="0"/>
              <w:right w:val="nil"/>
            </w:tcBorders>
            <w:vAlign w:val="center"/>
          </w:tcPr>
          <w:p w:rsidRPr="00B712C7" w:rsidR="00C53386" w:rsidP="00CB1BD3" w:rsidRDefault="00CB1BD3" w14:paraId="625B5F0E" w14:textId="77777777">
            <w:pPr>
              <w:pStyle w:val="BodyTextSpaceAfter"/>
              <w:spacing w:before="60" w:after="60"/>
              <w:jc w:val="center"/>
              <w:rPr>
                <w:rFonts w:ascii="Arial" w:hAnsi="Arial" w:cs="Arial"/>
                <w:sz w:val="20"/>
                <w:szCs w:val="20"/>
              </w:rPr>
            </w:pPr>
            <w:r w:rsidRPr="00B712C7">
              <w:rPr>
                <w:rFonts w:ascii="Arial" w:hAnsi="Arial" w:cs="Arial"/>
                <w:sz w:val="20"/>
                <w:szCs w:val="20"/>
              </w:rPr>
              <w:t>&lt;.0001</w:t>
            </w:r>
          </w:p>
        </w:tc>
      </w:tr>
    </w:tbl>
    <w:p w:rsidRPr="00B712C7" w:rsidR="00225928" w:rsidP="00762568" w:rsidRDefault="00225928" w14:paraId="767D9390"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p>
    <w:p w:rsidRPr="00B712C7" w:rsidR="00D90D28" w:rsidP="00762568" w:rsidRDefault="006C5137" w14:paraId="03660D1A" w14:textId="6A3121F3">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 xml:space="preserve">Figure </w:t>
      </w:r>
      <w:r w:rsidRPr="00B712C7" w:rsidR="002460AF">
        <w:rPr>
          <w:rFonts w:ascii="Arial" w:hAnsi="Arial" w:eastAsia="MS Mincho" w:cs="Arial"/>
        </w:rPr>
        <w:t>3</w:t>
      </w:r>
      <w:r w:rsidRPr="00B712C7">
        <w:rPr>
          <w:rFonts w:ascii="Arial" w:hAnsi="Arial" w:eastAsia="MS Mincho" w:cs="Arial"/>
        </w:rPr>
        <w:t xml:space="preserve"> shows the </w:t>
      </w:r>
      <w:r w:rsidRPr="00B712C7" w:rsidR="00A451ED">
        <w:rPr>
          <w:rFonts w:ascii="Arial" w:hAnsi="Arial" w:eastAsia="MS Mincho" w:cs="Arial"/>
        </w:rPr>
        <w:t>rate</w:t>
      </w:r>
      <w:r w:rsidRPr="00B712C7">
        <w:rPr>
          <w:rFonts w:ascii="Arial" w:hAnsi="Arial" w:eastAsia="MS Mincho" w:cs="Arial"/>
        </w:rPr>
        <w:t xml:space="preserve"> of existing and new unique offenders</w:t>
      </w:r>
      <w:r w:rsidRPr="00B712C7" w:rsidR="00A451ED">
        <w:rPr>
          <w:rFonts w:ascii="Arial" w:hAnsi="Arial" w:eastAsia="MS Mincho" w:cs="Arial"/>
        </w:rPr>
        <w:t xml:space="preserve"> each year per 100,000 population</w:t>
      </w:r>
      <w:r w:rsidRPr="00B712C7">
        <w:rPr>
          <w:rFonts w:ascii="Arial" w:hAnsi="Arial" w:eastAsia="MS Mincho" w:cs="Arial"/>
        </w:rPr>
        <w:t xml:space="preserve">. New offenders are those who have not </w:t>
      </w:r>
      <w:r w:rsidRPr="00B712C7" w:rsidR="00C93E94">
        <w:rPr>
          <w:rFonts w:ascii="Arial" w:hAnsi="Arial" w:eastAsia="MS Mincho" w:cs="Arial"/>
        </w:rPr>
        <w:t>had a drug use or possession-related</w:t>
      </w:r>
      <w:r w:rsidRPr="00B712C7" w:rsidR="008D0DE4">
        <w:rPr>
          <w:rFonts w:ascii="Arial" w:hAnsi="Arial" w:eastAsia="MS Mincho" w:cs="Arial"/>
        </w:rPr>
        <w:t xml:space="preserve"> offence incident</w:t>
      </w:r>
      <w:r w:rsidRPr="00B712C7">
        <w:rPr>
          <w:rFonts w:ascii="Arial" w:hAnsi="Arial" w:eastAsia="MS Mincho" w:cs="Arial"/>
        </w:rPr>
        <w:t xml:space="preserve"> in any previous year within the</w:t>
      </w:r>
      <w:r w:rsidRPr="00B712C7" w:rsidR="00A00E85">
        <w:rPr>
          <w:rFonts w:ascii="Arial" w:hAnsi="Arial" w:eastAsia="MS Mincho" w:cs="Arial"/>
        </w:rPr>
        <w:t xml:space="preserve"> ten year</w:t>
      </w:r>
      <w:r w:rsidRPr="00B712C7">
        <w:rPr>
          <w:rFonts w:ascii="Arial" w:hAnsi="Arial" w:eastAsia="MS Mincho" w:cs="Arial"/>
        </w:rPr>
        <w:t xml:space="preserve"> data set. </w:t>
      </w:r>
      <w:r w:rsidRPr="00B712C7" w:rsidR="00361ABC">
        <w:rPr>
          <w:rFonts w:ascii="Arial" w:hAnsi="Arial" w:eastAsia="MS Mincho" w:cs="Arial"/>
        </w:rPr>
        <w:t xml:space="preserve">The early data in this Figure should be interpreted with caution. </w:t>
      </w:r>
      <w:r w:rsidRPr="00B712C7" w:rsidR="008D0DE4">
        <w:rPr>
          <w:rFonts w:ascii="Arial" w:hAnsi="Arial" w:eastAsia="MS Mincho" w:cs="Arial"/>
        </w:rPr>
        <w:t xml:space="preserve">Because </w:t>
      </w:r>
      <w:r w:rsidRPr="00B712C7" w:rsidR="00F46841">
        <w:rPr>
          <w:rFonts w:ascii="Arial" w:hAnsi="Arial" w:eastAsia="MS Mincho" w:cs="Arial"/>
        </w:rPr>
        <w:t>the study only includes</w:t>
      </w:r>
      <w:r w:rsidRPr="00B712C7" w:rsidR="008D0DE4">
        <w:rPr>
          <w:rFonts w:ascii="Arial" w:hAnsi="Arial" w:eastAsia="MS Mincho" w:cs="Arial"/>
        </w:rPr>
        <w:t xml:space="preserve"> data from 2005, </w:t>
      </w:r>
      <w:r w:rsidRPr="00B712C7" w:rsidR="00361ABC">
        <w:rPr>
          <w:rFonts w:ascii="Arial" w:hAnsi="Arial" w:eastAsia="MS Mincho" w:cs="Arial"/>
        </w:rPr>
        <w:t>some offenders who appear as new offenders early in the dataset</w:t>
      </w:r>
      <w:r w:rsidRPr="00B712C7" w:rsidR="006E3EB9">
        <w:rPr>
          <w:rFonts w:ascii="Arial" w:hAnsi="Arial" w:eastAsia="MS Mincho" w:cs="Arial"/>
        </w:rPr>
        <w:t xml:space="preserve"> may </w:t>
      </w:r>
      <w:r w:rsidRPr="00B712C7" w:rsidR="00361ABC">
        <w:rPr>
          <w:rFonts w:ascii="Arial" w:hAnsi="Arial" w:eastAsia="MS Mincho" w:cs="Arial"/>
        </w:rPr>
        <w:t xml:space="preserve">in fact </w:t>
      </w:r>
      <w:r w:rsidRPr="00B712C7" w:rsidR="006E3EB9">
        <w:rPr>
          <w:rFonts w:ascii="Arial" w:hAnsi="Arial" w:eastAsia="MS Mincho" w:cs="Arial"/>
        </w:rPr>
        <w:t>h</w:t>
      </w:r>
      <w:r w:rsidRPr="00B712C7" w:rsidR="00361ABC">
        <w:rPr>
          <w:rFonts w:ascii="Arial" w:hAnsi="Arial" w:eastAsia="MS Mincho" w:cs="Arial"/>
        </w:rPr>
        <w:t xml:space="preserve">ave </w:t>
      </w:r>
      <w:r w:rsidRPr="00B712C7" w:rsidR="00C93E94">
        <w:rPr>
          <w:rFonts w:ascii="Arial" w:hAnsi="Arial" w:eastAsia="MS Mincho" w:cs="Arial"/>
        </w:rPr>
        <w:t xml:space="preserve">been recorded for drug use and possession offence incidents </w:t>
      </w:r>
      <w:r w:rsidRPr="00B712C7" w:rsidR="00361ABC">
        <w:rPr>
          <w:rFonts w:ascii="Arial" w:hAnsi="Arial" w:eastAsia="MS Mincho" w:cs="Arial"/>
        </w:rPr>
        <w:t>prior to 2005.</w:t>
      </w:r>
      <w:r w:rsidRPr="00B712C7" w:rsidR="00F46841">
        <w:rPr>
          <w:rFonts w:ascii="Arial" w:hAnsi="Arial" w:eastAsia="MS Mincho" w:cs="Arial"/>
        </w:rPr>
        <w:t xml:space="preserve"> </w:t>
      </w:r>
      <w:r w:rsidRPr="00B712C7" w:rsidR="006E3EB9">
        <w:rPr>
          <w:rFonts w:ascii="Arial" w:hAnsi="Arial" w:eastAsia="MS Mincho" w:cs="Arial"/>
        </w:rPr>
        <w:t>Nevertheless, t</w:t>
      </w:r>
      <w:r w:rsidRPr="00B712C7" w:rsidR="00A451ED">
        <w:rPr>
          <w:rFonts w:ascii="Arial" w:hAnsi="Arial" w:eastAsia="MS Mincho" w:cs="Arial"/>
        </w:rPr>
        <w:t>he rate</w:t>
      </w:r>
      <w:r w:rsidRPr="00B712C7" w:rsidR="00C2668A">
        <w:rPr>
          <w:rFonts w:ascii="Arial" w:hAnsi="Arial" w:eastAsia="MS Mincho" w:cs="Arial"/>
        </w:rPr>
        <w:t xml:space="preserve"> of new unique offenders has continued to increase since </w:t>
      </w:r>
      <w:r w:rsidRPr="00B712C7" w:rsidR="006E3EB9">
        <w:rPr>
          <w:rFonts w:ascii="Arial" w:hAnsi="Arial" w:eastAsia="MS Mincho" w:cs="Arial"/>
        </w:rPr>
        <w:t>2010.</w:t>
      </w:r>
      <w:r w:rsidRPr="00B712C7" w:rsidR="009F7006">
        <w:rPr>
          <w:rFonts w:ascii="Arial" w:hAnsi="Arial" w:eastAsia="MS Mincho" w:cs="Arial"/>
        </w:rPr>
        <w:t xml:space="preserve"> </w:t>
      </w:r>
      <w:r w:rsidRPr="00B712C7" w:rsidR="00261772">
        <w:rPr>
          <w:rFonts w:ascii="Arial" w:hAnsi="Arial" w:eastAsia="MS Mincho" w:cs="Arial"/>
        </w:rPr>
        <w:t>F</w:t>
      </w:r>
      <w:r w:rsidRPr="00B712C7" w:rsidR="00643BE1">
        <w:rPr>
          <w:rFonts w:ascii="Arial" w:hAnsi="Arial" w:eastAsia="MS Mincho" w:cs="Arial"/>
        </w:rPr>
        <w:t xml:space="preserve">igure </w:t>
      </w:r>
      <w:r w:rsidRPr="00B712C7" w:rsidR="002460AF">
        <w:rPr>
          <w:rFonts w:ascii="Arial" w:hAnsi="Arial" w:eastAsia="MS Mincho" w:cs="Arial"/>
        </w:rPr>
        <w:t>3</w:t>
      </w:r>
      <w:r w:rsidRPr="00B712C7" w:rsidR="00643BE1">
        <w:rPr>
          <w:rFonts w:ascii="Arial" w:hAnsi="Arial" w:eastAsia="MS Mincho" w:cs="Arial"/>
        </w:rPr>
        <w:t xml:space="preserve"> indicates that this</w:t>
      </w:r>
      <w:r w:rsidRPr="00B712C7" w:rsidR="00C2668A">
        <w:rPr>
          <w:rFonts w:ascii="Arial" w:hAnsi="Arial" w:eastAsia="MS Mincho" w:cs="Arial"/>
        </w:rPr>
        <w:t xml:space="preserve"> increase </w:t>
      </w:r>
      <w:r w:rsidRPr="00B712C7">
        <w:rPr>
          <w:rFonts w:ascii="Arial" w:hAnsi="Arial" w:eastAsia="MS Mincho" w:cs="Arial"/>
        </w:rPr>
        <w:t>has</w:t>
      </w:r>
      <w:r w:rsidRPr="00B712C7" w:rsidR="00643BE1">
        <w:rPr>
          <w:rFonts w:ascii="Arial" w:hAnsi="Arial" w:eastAsia="MS Mincho" w:cs="Arial"/>
        </w:rPr>
        <w:t xml:space="preserve"> slowed </w:t>
      </w:r>
      <w:r w:rsidRPr="00B712C7" w:rsidR="004112A9">
        <w:rPr>
          <w:rFonts w:ascii="Arial" w:hAnsi="Arial" w:eastAsia="MS Mincho" w:cs="Arial"/>
        </w:rPr>
        <w:t xml:space="preserve">somewhat </w:t>
      </w:r>
      <w:r w:rsidRPr="00B712C7">
        <w:rPr>
          <w:rFonts w:ascii="Arial" w:hAnsi="Arial" w:eastAsia="MS Mincho" w:cs="Arial"/>
        </w:rPr>
        <w:t>since 2013.</w:t>
      </w:r>
      <w:r w:rsidRPr="00B712C7" w:rsidR="009F7006">
        <w:rPr>
          <w:rFonts w:ascii="Arial" w:hAnsi="Arial" w:eastAsia="MS Mincho" w:cs="Arial"/>
        </w:rPr>
        <w:t xml:space="preserve"> </w:t>
      </w:r>
      <w:r w:rsidRPr="00B712C7" w:rsidR="00393323">
        <w:rPr>
          <w:rFonts w:ascii="Arial" w:hAnsi="Arial" w:eastAsia="MS Mincho" w:cs="Arial"/>
        </w:rPr>
        <w:t xml:space="preserve">In fact, the rate of new offenders only </w:t>
      </w:r>
      <w:r w:rsidR="009E50F8">
        <w:rPr>
          <w:rFonts w:ascii="Arial" w:hAnsi="Arial" w:eastAsia="MS Mincho" w:cs="Arial"/>
        </w:rPr>
        <w:t>increased marginally from 135.1</w:t>
      </w:r>
      <w:r w:rsidRPr="00B712C7" w:rsidR="00393323">
        <w:rPr>
          <w:rFonts w:ascii="Arial" w:hAnsi="Arial" w:eastAsia="MS Mincho" w:cs="Arial"/>
        </w:rPr>
        <w:t xml:space="preserve"> offenders per 100</w:t>
      </w:r>
      <w:r w:rsidR="009E50F8">
        <w:rPr>
          <w:rFonts w:ascii="Arial" w:hAnsi="Arial" w:eastAsia="MS Mincho" w:cs="Arial"/>
        </w:rPr>
        <w:t>,000 population in 2013 to 136.8</w:t>
      </w:r>
      <w:r w:rsidRPr="00B712C7" w:rsidR="00393323">
        <w:rPr>
          <w:rFonts w:ascii="Arial" w:hAnsi="Arial" w:eastAsia="MS Mincho" w:cs="Arial"/>
        </w:rPr>
        <w:t xml:space="preserve"> in 2014. </w:t>
      </w:r>
    </w:p>
    <w:p w:rsidRPr="00B712C7" w:rsidR="006F0E4B" w:rsidP="00D90D28" w:rsidRDefault="006F0E4B" w14:paraId="779DB075" w14:textId="77777777">
      <w:pPr>
        <w:widowControl w:val="false"/>
        <w:suppressAutoHyphens/>
        <w:autoSpaceDE w:val="false"/>
        <w:autoSpaceDN w:val="false"/>
        <w:adjustRightInd w:val="false"/>
        <w:spacing w:before="170" w:after="57" w:line="300" w:lineRule="atLeast"/>
        <w:textAlignment w:val="center"/>
        <w:outlineLvl w:val="2"/>
        <w:rPr>
          <w:rFonts w:ascii="Arial" w:hAnsi="Arial" w:cs="Arial"/>
        </w:rPr>
      </w:pPr>
    </w:p>
    <w:p w:rsidRPr="00B712C7" w:rsidR="00D90D28" w:rsidP="00D90D28" w:rsidRDefault="00D90D28" w14:paraId="1B7B082D" w14:textId="7C887F17">
      <w:pPr>
        <w:widowControl w:val="false"/>
        <w:suppressAutoHyphens/>
        <w:autoSpaceDE w:val="false"/>
        <w:autoSpaceDN w:val="false"/>
        <w:adjustRightInd w:val="false"/>
        <w:spacing w:before="170" w:after="57" w:line="300" w:lineRule="atLeast"/>
        <w:textAlignment w:val="center"/>
        <w:outlineLvl w:val="2"/>
        <w:rPr>
          <w:rFonts w:ascii="Arial" w:hAnsi="Arial" w:cs="Arial"/>
        </w:rPr>
      </w:pPr>
      <w:r w:rsidRPr="00B712C7">
        <w:rPr>
          <w:rFonts w:ascii="Arial" w:hAnsi="Arial" w:cs="Arial"/>
        </w:rPr>
        <w:t xml:space="preserve">Figure </w:t>
      </w:r>
      <w:r w:rsidRPr="00B712C7" w:rsidR="002460AF">
        <w:rPr>
          <w:rFonts w:ascii="Arial" w:hAnsi="Arial" w:cs="Arial"/>
        </w:rPr>
        <w:t>3</w:t>
      </w:r>
      <w:r w:rsidRPr="00B712C7">
        <w:rPr>
          <w:rFonts w:ascii="Arial" w:hAnsi="Arial" w:cs="Arial"/>
        </w:rPr>
        <w:t xml:space="preserve">: </w:t>
      </w:r>
      <w:r w:rsidRPr="00B712C7" w:rsidR="00A451ED">
        <w:rPr>
          <w:rFonts w:ascii="Arial" w:hAnsi="Arial" w:cs="Arial"/>
        </w:rPr>
        <w:t>Rate</w:t>
      </w:r>
      <w:r w:rsidRPr="00B712C7">
        <w:rPr>
          <w:rFonts w:ascii="Arial" w:hAnsi="Arial" w:cs="Arial"/>
        </w:rPr>
        <w:t xml:space="preserve"> of new and existing offenders per year, 2006 – 2014 </w:t>
      </w:r>
    </w:p>
    <w:p w:rsidRPr="00B712C7" w:rsidR="00D90D28" w:rsidP="00762568" w:rsidRDefault="00A451ED" w14:paraId="59F57732"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cs="Arial"/>
          <w:noProof/>
          <w:lang w:eastAsia="en-AU"/>
        </w:rPr>
        <w:drawing>
          <wp:inline distT="0" distB="0" distL="0" distR="0">
            <wp:extent cx="5876925" cy="3562350"/>
            <wp:effectExtent l="0" t="0" r="0"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4" name="Chart 4"/>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1:chart xmlns:ns1="http://schemas.openxmlformats.org/drawingml/2006/chart" r:id="rId10"/>
              </a:graphicData>
            </a:graphic>
          </wp:inline>
        </w:drawing>
      </w:r>
    </w:p>
    <w:p w:rsidRPr="00B712C7" w:rsidR="00D90D28" w:rsidP="00762568" w:rsidRDefault="0058005E" w14:paraId="1A07FFAF"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b/>
        </w:rPr>
      </w:pPr>
      <w:r w:rsidRPr="00B712C7">
        <w:rPr>
          <w:rFonts w:ascii="Arial" w:hAnsi="Arial" w:eastAsia="MS Mincho" w:cs="Arial"/>
          <w:b/>
        </w:rPr>
        <w:lastRenderedPageBreak/>
        <w:t>Repeat offending</w:t>
      </w:r>
    </w:p>
    <w:p w:rsidRPr="00B712C7" w:rsidR="00E335A8" w:rsidP="00762568" w:rsidRDefault="00D90D28" w14:paraId="3FE8A435" w14:textId="7E6F3E8C">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 xml:space="preserve">Overall, the </w:t>
      </w:r>
      <w:r w:rsidRPr="00B712C7" w:rsidR="00FF3AB6">
        <w:rPr>
          <w:rFonts w:ascii="Arial" w:hAnsi="Arial" w:eastAsia="MS Mincho" w:cs="Arial"/>
        </w:rPr>
        <w:t>majority of offenders (71.6</w:t>
      </w:r>
      <w:r w:rsidRPr="00B712C7" w:rsidR="00A00E85">
        <w:rPr>
          <w:rFonts w:ascii="Arial" w:hAnsi="Arial" w:eastAsia="MS Mincho" w:cs="Arial"/>
        </w:rPr>
        <w:t>% or</w:t>
      </w:r>
      <w:r w:rsidRPr="00B712C7" w:rsidR="00FF3AB6">
        <w:rPr>
          <w:rFonts w:ascii="Arial" w:hAnsi="Arial" w:eastAsia="MS Mincho" w:cs="Arial"/>
        </w:rPr>
        <w:t xml:space="preserve"> 47,417</w:t>
      </w:r>
      <w:r w:rsidRPr="00B712C7" w:rsidR="00043F3E">
        <w:rPr>
          <w:rFonts w:ascii="Arial" w:hAnsi="Arial" w:eastAsia="MS Mincho" w:cs="Arial"/>
        </w:rPr>
        <w:t>) were recorded by police for</w:t>
      </w:r>
      <w:r w:rsidRPr="00B712C7" w:rsidR="00CD3DB8">
        <w:rPr>
          <w:rFonts w:ascii="Arial" w:hAnsi="Arial" w:eastAsia="MS Mincho" w:cs="Arial"/>
        </w:rPr>
        <w:t xml:space="preserve"> only one use and possession offence incident </w:t>
      </w:r>
      <w:r w:rsidRPr="00B712C7" w:rsidR="00E335A8">
        <w:rPr>
          <w:rFonts w:ascii="Arial" w:hAnsi="Arial" w:eastAsia="MS Mincho" w:cs="Arial"/>
        </w:rPr>
        <w:t xml:space="preserve">over the ten </w:t>
      </w:r>
      <w:r w:rsidRPr="00B712C7" w:rsidR="008C7453">
        <w:rPr>
          <w:rFonts w:ascii="Arial" w:hAnsi="Arial" w:eastAsia="MS Mincho" w:cs="Arial"/>
        </w:rPr>
        <w:t>year period from 2005 to 2014</w:t>
      </w:r>
      <w:r w:rsidRPr="00B712C7" w:rsidR="00082654">
        <w:rPr>
          <w:rFonts w:ascii="Arial" w:hAnsi="Arial" w:eastAsia="MS Mincho" w:cs="Arial"/>
        </w:rPr>
        <w:t xml:space="preserve">. </w:t>
      </w:r>
      <w:r w:rsidRPr="00B712C7" w:rsidR="00FF3AB6">
        <w:rPr>
          <w:rFonts w:ascii="Arial" w:hAnsi="Arial" w:eastAsia="MS Mincho" w:cs="Arial"/>
        </w:rPr>
        <w:t>Seventeen percent</w:t>
      </w:r>
      <w:r w:rsidRPr="00B712C7" w:rsidR="00E335A8">
        <w:rPr>
          <w:rFonts w:ascii="Arial" w:hAnsi="Arial" w:eastAsia="MS Mincho" w:cs="Arial"/>
        </w:rPr>
        <w:t xml:space="preserve"> (</w:t>
      </w:r>
      <w:r w:rsidRPr="00B712C7" w:rsidR="00E335A8">
        <w:rPr>
          <w:rFonts w:ascii="Arial" w:hAnsi="Arial" w:eastAsia="MS Mincho" w:cs="Arial"/>
          <w:i/>
        </w:rPr>
        <w:t>n</w:t>
      </w:r>
      <w:r w:rsidRPr="00B712C7" w:rsidR="00FF3AB6">
        <w:rPr>
          <w:rFonts w:ascii="Arial" w:hAnsi="Arial" w:eastAsia="MS Mincho" w:cs="Arial"/>
        </w:rPr>
        <w:t>=10,949</w:t>
      </w:r>
      <w:r w:rsidRPr="00B712C7" w:rsidR="00CD3DB8">
        <w:rPr>
          <w:rFonts w:ascii="Arial" w:hAnsi="Arial" w:eastAsia="MS Mincho" w:cs="Arial"/>
        </w:rPr>
        <w:t xml:space="preserve">) </w:t>
      </w:r>
      <w:r w:rsidRPr="00B712C7" w:rsidR="00043F3E">
        <w:rPr>
          <w:rFonts w:ascii="Arial" w:hAnsi="Arial" w:eastAsia="MS Mincho" w:cs="Arial"/>
        </w:rPr>
        <w:t>were recorde</w:t>
      </w:r>
      <w:r w:rsidRPr="00B712C7" w:rsidR="00CD3DB8">
        <w:rPr>
          <w:rFonts w:ascii="Arial" w:hAnsi="Arial" w:eastAsia="MS Mincho" w:cs="Arial"/>
        </w:rPr>
        <w:t>d</w:t>
      </w:r>
      <w:r w:rsidRPr="00B712C7" w:rsidR="00043F3E">
        <w:rPr>
          <w:rFonts w:ascii="Arial" w:hAnsi="Arial" w:eastAsia="MS Mincho" w:cs="Arial"/>
        </w:rPr>
        <w:t xml:space="preserve"> for</w:t>
      </w:r>
      <w:r w:rsidRPr="00B712C7" w:rsidR="00082654">
        <w:rPr>
          <w:rFonts w:ascii="Arial" w:hAnsi="Arial" w:eastAsia="MS Mincho" w:cs="Arial"/>
        </w:rPr>
        <w:t xml:space="preserve"> two </w:t>
      </w:r>
      <w:r w:rsidRPr="00B712C7" w:rsidR="00CD3DB8">
        <w:rPr>
          <w:rFonts w:ascii="Arial" w:hAnsi="Arial" w:eastAsia="MS Mincho" w:cs="Arial"/>
        </w:rPr>
        <w:t>incidents</w:t>
      </w:r>
      <w:r w:rsidRPr="00B712C7" w:rsidR="00FF3AB6">
        <w:rPr>
          <w:rFonts w:ascii="Arial" w:hAnsi="Arial" w:eastAsia="MS Mincho" w:cs="Arial"/>
        </w:rPr>
        <w:t>, 6.1</w:t>
      </w:r>
      <w:r w:rsidRPr="00B712C7" w:rsidR="00E335A8">
        <w:rPr>
          <w:rFonts w:ascii="Arial" w:hAnsi="Arial" w:eastAsia="MS Mincho" w:cs="Arial"/>
        </w:rPr>
        <w:t>% (</w:t>
      </w:r>
      <w:r w:rsidRPr="00B712C7" w:rsidR="00E335A8">
        <w:rPr>
          <w:rFonts w:ascii="Arial" w:hAnsi="Arial" w:eastAsia="MS Mincho" w:cs="Arial"/>
          <w:i/>
        </w:rPr>
        <w:t>n</w:t>
      </w:r>
      <w:r w:rsidRPr="00B712C7" w:rsidR="00FF3AB6">
        <w:rPr>
          <w:rFonts w:ascii="Arial" w:hAnsi="Arial" w:eastAsia="MS Mincho" w:cs="Arial"/>
        </w:rPr>
        <w:t>=4,024</w:t>
      </w:r>
      <w:r w:rsidRPr="00B712C7" w:rsidR="00CD3DB8">
        <w:rPr>
          <w:rFonts w:ascii="Arial" w:hAnsi="Arial" w:eastAsia="MS Mincho" w:cs="Arial"/>
        </w:rPr>
        <w:t>)</w:t>
      </w:r>
      <w:r w:rsidRPr="00B712C7" w:rsidR="00043F3E">
        <w:rPr>
          <w:rFonts w:ascii="Arial" w:hAnsi="Arial" w:eastAsia="MS Mincho" w:cs="Arial"/>
        </w:rPr>
        <w:t xml:space="preserve"> were recorded for</w:t>
      </w:r>
      <w:r w:rsidRPr="00B712C7" w:rsidR="00E335A8">
        <w:rPr>
          <w:rFonts w:ascii="Arial" w:hAnsi="Arial" w:eastAsia="MS Mincho" w:cs="Arial"/>
        </w:rPr>
        <w:t xml:space="preserve"> three and the </w:t>
      </w:r>
      <w:r w:rsidRPr="00B712C7" w:rsidR="00FF3AB6">
        <w:rPr>
          <w:rFonts w:ascii="Arial" w:hAnsi="Arial" w:eastAsia="MS Mincho" w:cs="Arial"/>
        </w:rPr>
        <w:t>remaining 5.8</w:t>
      </w:r>
      <w:r w:rsidRPr="00B712C7" w:rsidR="00E335A8">
        <w:rPr>
          <w:rFonts w:ascii="Arial" w:hAnsi="Arial" w:eastAsia="MS Mincho" w:cs="Arial"/>
        </w:rPr>
        <w:t>% (</w:t>
      </w:r>
      <w:r w:rsidRPr="00B712C7" w:rsidR="00E335A8">
        <w:rPr>
          <w:rFonts w:ascii="Arial" w:hAnsi="Arial" w:eastAsia="MS Mincho" w:cs="Arial"/>
          <w:i/>
        </w:rPr>
        <w:t>n</w:t>
      </w:r>
      <w:r w:rsidRPr="00B712C7" w:rsidR="00FF3AB6">
        <w:rPr>
          <w:rFonts w:ascii="Arial" w:hAnsi="Arial" w:eastAsia="MS Mincho" w:cs="Arial"/>
        </w:rPr>
        <w:t>=3,820</w:t>
      </w:r>
      <w:r w:rsidRPr="00B712C7" w:rsidR="00043F3E">
        <w:rPr>
          <w:rFonts w:ascii="Arial" w:hAnsi="Arial" w:eastAsia="MS Mincho" w:cs="Arial"/>
        </w:rPr>
        <w:t>) were recorded for</w:t>
      </w:r>
      <w:r w:rsidRPr="00B712C7" w:rsidR="00E335A8">
        <w:rPr>
          <w:rFonts w:ascii="Arial" w:hAnsi="Arial" w:eastAsia="MS Mincho" w:cs="Arial"/>
        </w:rPr>
        <w:t xml:space="preserve"> four or more offences</w:t>
      </w:r>
      <w:r w:rsidRPr="00B712C7" w:rsidR="00CD3DB8">
        <w:rPr>
          <w:rFonts w:ascii="Arial" w:hAnsi="Arial" w:eastAsia="MS Mincho" w:cs="Arial"/>
        </w:rPr>
        <w:t>. The maximum number of offence incidents</w:t>
      </w:r>
      <w:r w:rsidRPr="00B712C7" w:rsidR="00043F3E">
        <w:rPr>
          <w:rFonts w:ascii="Arial" w:hAnsi="Arial" w:eastAsia="MS Mincho" w:cs="Arial"/>
        </w:rPr>
        <w:t xml:space="preserve"> recorded for</w:t>
      </w:r>
      <w:r w:rsidRPr="00B712C7" w:rsidR="00E335A8">
        <w:rPr>
          <w:rFonts w:ascii="Arial" w:hAnsi="Arial" w:eastAsia="MS Mincho" w:cs="Arial"/>
        </w:rPr>
        <w:t xml:space="preserve"> an individual offender</w:t>
      </w:r>
      <w:r w:rsidRPr="00B712C7" w:rsidR="00082654">
        <w:rPr>
          <w:rFonts w:ascii="Arial" w:hAnsi="Arial" w:eastAsia="MS Mincho" w:cs="Arial"/>
        </w:rPr>
        <w:t xml:space="preserve"> over the ten year period was 34</w:t>
      </w:r>
      <w:r w:rsidRPr="00B712C7" w:rsidR="00FF3AB6">
        <w:rPr>
          <w:rFonts w:ascii="Arial" w:hAnsi="Arial" w:eastAsia="MS Mincho" w:cs="Arial"/>
        </w:rPr>
        <w:t xml:space="preserve">, </w:t>
      </w:r>
      <w:r w:rsidRPr="00B712C7" w:rsidR="00043F3E">
        <w:rPr>
          <w:rFonts w:ascii="Arial" w:hAnsi="Arial" w:eastAsia="MS Mincho" w:cs="Arial"/>
        </w:rPr>
        <w:t>and the maximum number recorded</w:t>
      </w:r>
      <w:r w:rsidRPr="00B712C7" w:rsidR="00FF3AB6">
        <w:rPr>
          <w:rFonts w:ascii="Arial" w:hAnsi="Arial" w:eastAsia="MS Mincho" w:cs="Arial"/>
        </w:rPr>
        <w:t xml:space="preserve"> in a single year was ten</w:t>
      </w:r>
      <w:r w:rsidRPr="00B712C7" w:rsidR="00E335A8">
        <w:rPr>
          <w:rFonts w:ascii="Arial" w:hAnsi="Arial" w:eastAsia="MS Mincho" w:cs="Arial"/>
        </w:rPr>
        <w:t xml:space="preserve">. </w:t>
      </w:r>
      <w:r w:rsidRPr="00B712C7" w:rsidR="00F46841">
        <w:rPr>
          <w:rFonts w:ascii="Arial" w:hAnsi="Arial" w:eastAsia="MS Mincho" w:cs="Arial"/>
        </w:rPr>
        <w:t>The median number of days between a first and second offence incident for repeat offenders was 431.</w:t>
      </w:r>
    </w:p>
    <w:p w:rsidR="00393FD3" w:rsidP="00762568" w:rsidRDefault="00E335A8" w14:paraId="5AF0519B" w14:textId="218AAC2C">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 xml:space="preserve">Figure </w:t>
      </w:r>
      <w:r w:rsidRPr="00B712C7" w:rsidR="002460AF">
        <w:rPr>
          <w:rFonts w:ascii="Arial" w:hAnsi="Arial" w:eastAsia="MS Mincho" w:cs="Arial"/>
        </w:rPr>
        <w:t>4</w:t>
      </w:r>
      <w:r w:rsidRPr="00B712C7">
        <w:rPr>
          <w:rFonts w:ascii="Arial" w:hAnsi="Arial" w:eastAsia="MS Mincho" w:cs="Arial"/>
        </w:rPr>
        <w:t xml:space="preserve"> shows </w:t>
      </w:r>
      <w:r w:rsidRPr="00B712C7" w:rsidR="00DA1C93">
        <w:rPr>
          <w:rFonts w:ascii="Arial" w:hAnsi="Arial" w:eastAsia="MS Mincho" w:cs="Arial"/>
        </w:rPr>
        <w:t xml:space="preserve">the </w:t>
      </w:r>
      <w:r w:rsidRPr="00B712C7" w:rsidR="008C7453">
        <w:rPr>
          <w:rFonts w:ascii="Arial" w:hAnsi="Arial" w:eastAsia="MS Mincho" w:cs="Arial"/>
        </w:rPr>
        <w:t>breakdown of the n</w:t>
      </w:r>
      <w:r w:rsidRPr="00B712C7" w:rsidR="00CD3DB8">
        <w:rPr>
          <w:rFonts w:ascii="Arial" w:hAnsi="Arial" w:eastAsia="MS Mincho" w:cs="Arial"/>
        </w:rPr>
        <w:t>umber of offence incidents</w:t>
      </w:r>
      <w:r w:rsidRPr="00B712C7" w:rsidR="00043F3E">
        <w:rPr>
          <w:rFonts w:ascii="Arial" w:hAnsi="Arial" w:eastAsia="MS Mincho" w:cs="Arial"/>
        </w:rPr>
        <w:t xml:space="preserve"> for offenders</w:t>
      </w:r>
      <w:r w:rsidRPr="00B712C7" w:rsidR="006C5137">
        <w:rPr>
          <w:rFonts w:ascii="Arial" w:hAnsi="Arial" w:eastAsia="MS Mincho" w:cs="Arial"/>
        </w:rPr>
        <w:t xml:space="preserve"> who were recorded for at least one offence</w:t>
      </w:r>
      <w:r w:rsidRPr="00B712C7" w:rsidR="00CD3DB8">
        <w:rPr>
          <w:rFonts w:ascii="Arial" w:hAnsi="Arial" w:eastAsia="MS Mincho" w:cs="Arial"/>
        </w:rPr>
        <w:t xml:space="preserve"> incident</w:t>
      </w:r>
      <w:r w:rsidRPr="00B712C7" w:rsidR="006C5137">
        <w:rPr>
          <w:rFonts w:ascii="Arial" w:hAnsi="Arial" w:eastAsia="MS Mincho" w:cs="Arial"/>
        </w:rPr>
        <w:t xml:space="preserve"> </w:t>
      </w:r>
      <w:r w:rsidRPr="00B712C7" w:rsidR="00A00E85">
        <w:rPr>
          <w:rFonts w:ascii="Arial" w:hAnsi="Arial" w:eastAsia="MS Mincho" w:cs="Arial"/>
        </w:rPr>
        <w:t>in each</w:t>
      </w:r>
      <w:r w:rsidRPr="00B712C7" w:rsidR="006C5137">
        <w:rPr>
          <w:rFonts w:ascii="Arial" w:hAnsi="Arial" w:eastAsia="MS Mincho" w:cs="Arial"/>
        </w:rPr>
        <w:t xml:space="preserve"> year</w:t>
      </w:r>
      <w:r w:rsidRPr="00B712C7" w:rsidR="00B21A2B">
        <w:rPr>
          <w:rFonts w:ascii="Arial" w:hAnsi="Arial" w:eastAsia="MS Mincho" w:cs="Arial"/>
        </w:rPr>
        <w:t>.</w:t>
      </w:r>
      <w:r w:rsidRPr="00B712C7" w:rsidR="00B04818">
        <w:rPr>
          <w:rFonts w:ascii="Arial" w:hAnsi="Arial" w:eastAsia="MS Mincho" w:cs="Arial"/>
        </w:rPr>
        <w:t xml:space="preserve"> </w:t>
      </w:r>
      <w:r w:rsidRPr="00B712C7" w:rsidR="00A919B3">
        <w:rPr>
          <w:rFonts w:ascii="Arial" w:hAnsi="Arial" w:eastAsia="MS Mincho" w:cs="Arial"/>
        </w:rPr>
        <w:t>Again, t</w:t>
      </w:r>
      <w:r w:rsidRPr="00B712C7">
        <w:rPr>
          <w:rFonts w:ascii="Arial" w:hAnsi="Arial" w:eastAsia="MS Mincho" w:cs="Arial"/>
        </w:rPr>
        <w:t xml:space="preserve">he majority </w:t>
      </w:r>
      <w:r w:rsidRPr="00B712C7" w:rsidR="00043F3E">
        <w:rPr>
          <w:rFonts w:ascii="Arial" w:hAnsi="Arial" w:eastAsia="MS Mincho" w:cs="Arial"/>
        </w:rPr>
        <w:t>of offenders were recorded for</w:t>
      </w:r>
      <w:r w:rsidRPr="00B712C7">
        <w:rPr>
          <w:rFonts w:ascii="Arial" w:hAnsi="Arial" w:eastAsia="MS Mincho" w:cs="Arial"/>
        </w:rPr>
        <w:t xml:space="preserve"> just one offence</w:t>
      </w:r>
      <w:r w:rsidRPr="00B712C7" w:rsidR="00CD3DB8">
        <w:rPr>
          <w:rFonts w:ascii="Arial" w:hAnsi="Arial" w:eastAsia="MS Mincho" w:cs="Arial"/>
        </w:rPr>
        <w:t xml:space="preserve"> incident</w:t>
      </w:r>
      <w:r w:rsidRPr="00B712C7">
        <w:rPr>
          <w:rFonts w:ascii="Arial" w:hAnsi="Arial" w:eastAsia="MS Mincho" w:cs="Arial"/>
        </w:rPr>
        <w:t xml:space="preserve"> per year</w:t>
      </w:r>
      <w:r w:rsidRPr="00B712C7" w:rsidR="00FE1A2D">
        <w:rPr>
          <w:rFonts w:ascii="Arial" w:hAnsi="Arial" w:eastAsia="MS Mincho" w:cs="Arial"/>
        </w:rPr>
        <w:t xml:space="preserve">. However, </w:t>
      </w:r>
      <w:r w:rsidRPr="00B712C7" w:rsidR="00FF3AB6">
        <w:rPr>
          <w:rFonts w:ascii="Arial" w:hAnsi="Arial" w:eastAsia="MS Mincho" w:cs="Arial"/>
        </w:rPr>
        <w:t>over the past six</w:t>
      </w:r>
      <w:r w:rsidRPr="00B712C7" w:rsidR="0058005E">
        <w:rPr>
          <w:rFonts w:ascii="Arial" w:hAnsi="Arial" w:eastAsia="MS Mincho" w:cs="Arial"/>
        </w:rPr>
        <w:t xml:space="preserve"> years </w:t>
      </w:r>
      <w:r w:rsidRPr="00B712C7" w:rsidR="00FE1A2D">
        <w:rPr>
          <w:rFonts w:ascii="Arial" w:hAnsi="Arial" w:eastAsia="MS Mincho" w:cs="Arial"/>
        </w:rPr>
        <w:t>there was an increase in the propo</w:t>
      </w:r>
      <w:r w:rsidRPr="00B712C7" w:rsidR="00043F3E">
        <w:rPr>
          <w:rFonts w:ascii="Arial" w:hAnsi="Arial" w:eastAsia="MS Mincho" w:cs="Arial"/>
        </w:rPr>
        <w:t>rtion of offenders recorded for</w:t>
      </w:r>
      <w:r w:rsidRPr="00B712C7" w:rsidR="00FE1A2D">
        <w:rPr>
          <w:rFonts w:ascii="Arial" w:hAnsi="Arial" w:eastAsia="MS Mincho" w:cs="Arial"/>
        </w:rPr>
        <w:t xml:space="preserve"> more than one offe</w:t>
      </w:r>
      <w:r w:rsidRPr="00B712C7" w:rsidR="0058005E">
        <w:rPr>
          <w:rFonts w:ascii="Arial" w:hAnsi="Arial" w:eastAsia="MS Mincho" w:cs="Arial"/>
        </w:rPr>
        <w:t xml:space="preserve">nce </w:t>
      </w:r>
      <w:r w:rsidRPr="00B712C7" w:rsidR="00CD3DB8">
        <w:rPr>
          <w:rFonts w:ascii="Arial" w:hAnsi="Arial" w:eastAsia="MS Mincho" w:cs="Arial"/>
        </w:rPr>
        <w:t xml:space="preserve">incident </w:t>
      </w:r>
      <w:r w:rsidRPr="00B712C7" w:rsidR="0058005E">
        <w:rPr>
          <w:rFonts w:ascii="Arial" w:hAnsi="Arial" w:eastAsia="MS Mincho" w:cs="Arial"/>
        </w:rPr>
        <w:t>each year</w:t>
      </w:r>
      <w:r w:rsidRPr="00B712C7" w:rsidR="00FF3AB6">
        <w:rPr>
          <w:rFonts w:ascii="Arial" w:hAnsi="Arial" w:eastAsia="MS Mincho" w:cs="Arial"/>
        </w:rPr>
        <w:t xml:space="preserve"> (from 8.6</w:t>
      </w:r>
      <w:r w:rsidRPr="00B712C7" w:rsidR="00FE1A2D">
        <w:rPr>
          <w:rFonts w:ascii="Arial" w:hAnsi="Arial" w:eastAsia="MS Mincho" w:cs="Arial"/>
        </w:rPr>
        <w:t>%</w:t>
      </w:r>
      <w:r w:rsidRPr="00B712C7" w:rsidR="00FF3AB6">
        <w:rPr>
          <w:rFonts w:ascii="Arial" w:hAnsi="Arial" w:eastAsia="MS Mincho" w:cs="Arial"/>
        </w:rPr>
        <w:t xml:space="preserve"> or 704</w:t>
      </w:r>
      <w:r w:rsidRPr="00B712C7" w:rsidR="00225928">
        <w:rPr>
          <w:rFonts w:ascii="Arial" w:hAnsi="Arial" w:eastAsia="MS Mincho" w:cs="Arial"/>
        </w:rPr>
        <w:t xml:space="preserve"> offenders</w:t>
      </w:r>
      <w:r w:rsidRPr="00B712C7" w:rsidR="00FF3AB6">
        <w:rPr>
          <w:rFonts w:ascii="Arial" w:hAnsi="Arial" w:eastAsia="MS Mincho" w:cs="Arial"/>
        </w:rPr>
        <w:t xml:space="preserve"> in 2009</w:t>
      </w:r>
      <w:r w:rsidRPr="00B712C7" w:rsidR="00A919B3">
        <w:rPr>
          <w:rFonts w:ascii="Arial" w:hAnsi="Arial" w:eastAsia="MS Mincho" w:cs="Arial"/>
        </w:rPr>
        <w:t xml:space="preserve"> to 14.6</w:t>
      </w:r>
      <w:r w:rsidRPr="00B712C7" w:rsidR="00FE1A2D">
        <w:rPr>
          <w:rFonts w:ascii="Arial" w:hAnsi="Arial" w:eastAsia="MS Mincho" w:cs="Arial"/>
        </w:rPr>
        <w:t xml:space="preserve">% </w:t>
      </w:r>
      <w:r w:rsidRPr="00B712C7" w:rsidR="00A919B3">
        <w:rPr>
          <w:rFonts w:ascii="Arial" w:hAnsi="Arial" w:eastAsia="MS Mincho" w:cs="Arial"/>
        </w:rPr>
        <w:t>or 1,838</w:t>
      </w:r>
      <w:r w:rsidRPr="00B712C7" w:rsidR="00225928">
        <w:rPr>
          <w:rFonts w:ascii="Arial" w:hAnsi="Arial" w:eastAsia="MS Mincho" w:cs="Arial"/>
        </w:rPr>
        <w:t xml:space="preserve"> offenders </w:t>
      </w:r>
      <w:r w:rsidRPr="00B712C7" w:rsidR="00FE1A2D">
        <w:rPr>
          <w:rFonts w:ascii="Arial" w:hAnsi="Arial" w:eastAsia="MS Mincho" w:cs="Arial"/>
        </w:rPr>
        <w:t xml:space="preserve">in 2014). </w:t>
      </w:r>
    </w:p>
    <w:p w:rsidRPr="00B712C7" w:rsidR="00A06EEC" w:rsidP="00762568" w:rsidRDefault="00A06EEC" w14:paraId="0B1ED511"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p>
    <w:p w:rsidRPr="00B712C7" w:rsidR="00560396" w:rsidP="00762568" w:rsidRDefault="00FE1A2D" w14:paraId="66229310" w14:textId="0FF1C094">
      <w:pPr>
        <w:widowControl w:val="false"/>
        <w:suppressAutoHyphens/>
        <w:autoSpaceDE w:val="false"/>
        <w:autoSpaceDN w:val="false"/>
        <w:adjustRightInd w:val="false"/>
        <w:spacing w:before="170" w:after="57" w:line="300" w:lineRule="atLeast"/>
        <w:textAlignment w:val="center"/>
        <w:outlineLvl w:val="2"/>
        <w:rPr>
          <w:rFonts w:ascii="Arial" w:hAnsi="Arial" w:cs="Arial"/>
        </w:rPr>
      </w:pPr>
      <w:r w:rsidRPr="00B712C7">
        <w:rPr>
          <w:rFonts w:ascii="Arial" w:hAnsi="Arial" w:cs="Arial"/>
        </w:rPr>
        <w:t xml:space="preserve">Figure </w:t>
      </w:r>
      <w:r w:rsidRPr="00B712C7" w:rsidR="002460AF">
        <w:rPr>
          <w:rFonts w:ascii="Arial" w:hAnsi="Arial" w:cs="Arial"/>
        </w:rPr>
        <w:t>4</w:t>
      </w:r>
      <w:r w:rsidRPr="00B712C7">
        <w:rPr>
          <w:rFonts w:ascii="Arial" w:hAnsi="Arial" w:cs="Arial"/>
        </w:rPr>
        <w:t xml:space="preserve">: </w:t>
      </w:r>
      <w:r w:rsidRPr="00B712C7" w:rsidR="00043F3E">
        <w:rPr>
          <w:rFonts w:ascii="Arial" w:hAnsi="Arial" w:cs="Arial"/>
        </w:rPr>
        <w:t>Proportion of unique offenders recorded for</w:t>
      </w:r>
      <w:r w:rsidRPr="00B712C7" w:rsidR="00B30D91">
        <w:rPr>
          <w:rFonts w:ascii="Arial" w:hAnsi="Arial" w:cs="Arial"/>
        </w:rPr>
        <w:t xml:space="preserve"> 1, 2, 3 and 4 or more offence incidents</w:t>
      </w:r>
      <w:r w:rsidRPr="00B712C7" w:rsidR="009F7006">
        <w:rPr>
          <w:rFonts w:ascii="Arial" w:hAnsi="Arial" w:cs="Arial"/>
        </w:rPr>
        <w:t xml:space="preserve"> per year</w:t>
      </w:r>
      <w:r w:rsidRPr="00B712C7">
        <w:rPr>
          <w:rFonts w:ascii="Arial" w:hAnsi="Arial" w:cs="Arial"/>
        </w:rPr>
        <w:t xml:space="preserve">, 2005 </w:t>
      </w:r>
      <w:r w:rsidRPr="00B712C7" w:rsidR="006C3DBB">
        <w:rPr>
          <w:rFonts w:ascii="Arial" w:hAnsi="Arial" w:cs="Arial"/>
        </w:rPr>
        <w:t>–</w:t>
      </w:r>
      <w:r w:rsidRPr="00B712C7">
        <w:rPr>
          <w:rFonts w:ascii="Arial" w:hAnsi="Arial" w:cs="Arial"/>
        </w:rPr>
        <w:t xml:space="preserve"> 2014</w:t>
      </w:r>
      <w:r w:rsidRPr="00B712C7" w:rsidR="006C3DBB">
        <w:rPr>
          <w:rFonts w:ascii="Arial" w:hAnsi="Arial" w:cs="Arial"/>
        </w:rPr>
        <w:t xml:space="preserve"> </w:t>
      </w:r>
    </w:p>
    <w:p w:rsidRPr="00B712C7" w:rsidR="00FE1A2D" w:rsidP="00762568" w:rsidRDefault="009B300B" w14:paraId="5770B5C9" w14:textId="1B9EE2B7">
      <w:pPr>
        <w:widowControl w:val="false"/>
        <w:suppressAutoHyphens/>
        <w:autoSpaceDE w:val="false"/>
        <w:autoSpaceDN w:val="false"/>
        <w:adjustRightInd w:val="false"/>
        <w:spacing w:before="170" w:after="57" w:line="300" w:lineRule="atLeast"/>
        <w:textAlignment w:val="center"/>
        <w:outlineLvl w:val="2"/>
        <w:rPr>
          <w:rFonts w:ascii="Arial" w:hAnsi="Arial" w:cs="Arial"/>
          <w:noProof/>
          <w:lang w:eastAsia="en-AU"/>
        </w:rPr>
      </w:pPr>
      <w:r w:rsidRPr="00B712C7">
        <w:rPr>
          <w:rFonts w:ascii="Arial" w:hAnsi="Arial" w:cs="Arial"/>
          <w:noProof/>
          <w:lang w:eastAsia="en-AU"/>
        </w:rPr>
        <w:drawing>
          <wp:inline distT="0" distB="0" distL="0" distR="0">
            <wp:extent cx="5895975" cy="3600450"/>
            <wp:effectExtent l="0" t="0" r="0"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5" name="Chart 5"/>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2:chart xmlns:ns2="http://schemas.openxmlformats.org/drawingml/2006/chart" r:id="rId11"/>
              </a:graphicData>
            </a:graphic>
          </wp:inline>
        </w:drawing>
      </w:r>
    </w:p>
    <w:p w:rsidRPr="00B712C7" w:rsidR="00CC0F93" w:rsidP="00965C57" w:rsidRDefault="00CC0F93" w14:paraId="19FACC38"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p>
    <w:p w:rsidRPr="00B712C7" w:rsidR="009F7006" w:rsidP="00965C57" w:rsidRDefault="009F7006" w14:paraId="45793EE9"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b/>
        </w:rPr>
      </w:pPr>
      <w:r w:rsidRPr="00B712C7">
        <w:rPr>
          <w:rFonts w:ascii="Arial" w:hAnsi="Arial" w:eastAsia="MS Mincho" w:cs="Arial"/>
          <w:b/>
        </w:rPr>
        <w:t>Characteristics of offenders</w:t>
      </w:r>
    </w:p>
    <w:p w:rsidR="003439FE" w:rsidP="00965C57" w:rsidRDefault="00965C57" w14:paraId="64A44030"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 xml:space="preserve">The majority of </w:t>
      </w:r>
      <w:r w:rsidRPr="00B712C7" w:rsidR="00CC0F93">
        <w:rPr>
          <w:rFonts w:ascii="Arial" w:hAnsi="Arial" w:eastAsia="MS Mincho" w:cs="Arial"/>
        </w:rPr>
        <w:t xml:space="preserve">unique </w:t>
      </w:r>
      <w:r w:rsidRPr="00B712C7">
        <w:rPr>
          <w:rFonts w:ascii="Arial" w:hAnsi="Arial" w:eastAsia="MS Mincho" w:cs="Arial"/>
        </w:rPr>
        <w:t xml:space="preserve">drug use and possession offenders </w:t>
      </w:r>
      <w:r w:rsidRPr="00B712C7" w:rsidR="00CC0F93">
        <w:rPr>
          <w:rFonts w:ascii="Arial" w:hAnsi="Arial" w:eastAsia="MS Mincho" w:cs="Arial"/>
        </w:rPr>
        <w:t>over the past ten years we</w:t>
      </w:r>
      <w:r w:rsidRPr="00B712C7">
        <w:rPr>
          <w:rFonts w:ascii="Arial" w:hAnsi="Arial" w:eastAsia="MS Mincho" w:cs="Arial"/>
        </w:rPr>
        <w:t xml:space="preserve">re male </w:t>
      </w:r>
      <w:r w:rsidRPr="00B712C7" w:rsidR="00F52FF2">
        <w:rPr>
          <w:rFonts w:ascii="Arial" w:hAnsi="Arial" w:eastAsia="MS Mincho" w:cs="Arial"/>
        </w:rPr>
        <w:t>(81</w:t>
      </w:r>
      <w:r w:rsidRPr="00B712C7" w:rsidR="0027575A">
        <w:rPr>
          <w:rFonts w:ascii="Arial" w:hAnsi="Arial" w:eastAsia="MS Mincho" w:cs="Arial"/>
        </w:rPr>
        <w:t>.4</w:t>
      </w:r>
      <w:r w:rsidRPr="00B712C7" w:rsidR="00002CB3">
        <w:rPr>
          <w:rFonts w:ascii="Arial" w:hAnsi="Arial" w:eastAsia="MS Mincho" w:cs="Arial"/>
        </w:rPr>
        <w:t xml:space="preserve">%, </w:t>
      </w:r>
      <w:r w:rsidRPr="00B712C7" w:rsidR="00002CB3">
        <w:rPr>
          <w:rFonts w:ascii="Arial" w:hAnsi="Arial" w:eastAsia="MS Mincho" w:cs="Arial"/>
          <w:i/>
        </w:rPr>
        <w:t>n</w:t>
      </w:r>
      <w:r w:rsidRPr="00B712C7" w:rsidR="00002CB3">
        <w:rPr>
          <w:rFonts w:ascii="Arial" w:hAnsi="Arial" w:eastAsia="MS Mincho" w:cs="Arial"/>
        </w:rPr>
        <w:t>=</w:t>
      </w:r>
      <w:r w:rsidRPr="00B712C7" w:rsidR="00F52FF2">
        <w:rPr>
          <w:rFonts w:ascii="Arial" w:hAnsi="Arial" w:eastAsia="MS Mincho" w:cs="Arial"/>
        </w:rPr>
        <w:t>53,924)</w:t>
      </w:r>
      <w:r w:rsidRPr="00B712C7" w:rsidR="00CC0F93">
        <w:rPr>
          <w:rFonts w:ascii="Arial" w:hAnsi="Arial" w:eastAsia="MS Mincho" w:cs="Arial"/>
        </w:rPr>
        <w:t>.</w:t>
      </w:r>
      <w:r w:rsidRPr="00B712C7" w:rsidR="00923216">
        <w:rPr>
          <w:rFonts w:ascii="Arial" w:hAnsi="Arial" w:eastAsia="MS Mincho" w:cs="Arial"/>
        </w:rPr>
        <w:t xml:space="preserve"> </w:t>
      </w:r>
      <w:r w:rsidRPr="00B712C7" w:rsidR="00F52FF2">
        <w:rPr>
          <w:rFonts w:ascii="Arial" w:hAnsi="Arial" w:eastAsia="MS Mincho" w:cs="Arial"/>
        </w:rPr>
        <w:t>The proportion of</w:t>
      </w:r>
      <w:r w:rsidRPr="00B712C7" w:rsidR="00923216">
        <w:rPr>
          <w:rFonts w:ascii="Arial" w:hAnsi="Arial" w:eastAsia="MS Mincho" w:cs="Arial"/>
        </w:rPr>
        <w:t xml:space="preserve"> unique offenders who were</w:t>
      </w:r>
      <w:r w:rsidRPr="00B712C7" w:rsidR="00F52FF2">
        <w:rPr>
          <w:rFonts w:ascii="Arial" w:hAnsi="Arial" w:eastAsia="MS Mincho" w:cs="Arial"/>
        </w:rPr>
        <w:t xml:space="preserve"> femal</w:t>
      </w:r>
      <w:r w:rsidRPr="00B712C7" w:rsidR="00923216">
        <w:rPr>
          <w:rFonts w:ascii="Arial" w:hAnsi="Arial" w:eastAsia="MS Mincho" w:cs="Arial"/>
        </w:rPr>
        <w:t>e, however, was</w:t>
      </w:r>
      <w:r w:rsidRPr="00B712C7" w:rsidR="004222B7">
        <w:rPr>
          <w:rFonts w:ascii="Arial" w:hAnsi="Arial" w:eastAsia="MS Mincho" w:cs="Arial"/>
        </w:rPr>
        <w:t xml:space="preserve"> slightly</w:t>
      </w:r>
      <w:r w:rsidRPr="00B712C7" w:rsidR="00923216">
        <w:rPr>
          <w:rFonts w:ascii="Arial" w:hAnsi="Arial" w:eastAsia="MS Mincho" w:cs="Arial"/>
        </w:rPr>
        <w:t xml:space="preserve"> higher in 2013 and 2014 than it has been over the past ten years: 18.1% (</w:t>
      </w:r>
      <w:r w:rsidRPr="00B712C7" w:rsidR="00923216">
        <w:rPr>
          <w:rFonts w:ascii="Arial" w:hAnsi="Arial" w:eastAsia="MS Mincho" w:cs="Arial"/>
          <w:i/>
        </w:rPr>
        <w:t>n</w:t>
      </w:r>
      <w:r w:rsidRPr="00B712C7" w:rsidR="00923216">
        <w:rPr>
          <w:rFonts w:ascii="Arial" w:hAnsi="Arial" w:eastAsia="MS Mincho" w:cs="Arial"/>
        </w:rPr>
        <w:t>=2,108) were female in 2013, and 19.3% (</w:t>
      </w:r>
      <w:r w:rsidRPr="00B712C7" w:rsidR="00923216">
        <w:rPr>
          <w:rFonts w:ascii="Arial" w:hAnsi="Arial" w:eastAsia="MS Mincho" w:cs="Arial"/>
          <w:i/>
        </w:rPr>
        <w:t>n</w:t>
      </w:r>
      <w:r w:rsidRPr="00B712C7" w:rsidR="00923216">
        <w:rPr>
          <w:rFonts w:ascii="Arial" w:hAnsi="Arial" w:eastAsia="MS Mincho" w:cs="Arial"/>
        </w:rPr>
        <w:t>=2,406) were female in 2014. Prior to this, the hig</w:t>
      </w:r>
      <w:r w:rsidRPr="00B712C7" w:rsidR="00B21A2B">
        <w:rPr>
          <w:rFonts w:ascii="Arial" w:hAnsi="Arial" w:eastAsia="MS Mincho" w:cs="Arial"/>
        </w:rPr>
        <w:t>hest proportion of</w:t>
      </w:r>
      <w:r w:rsidRPr="00B712C7" w:rsidR="00CC0F93">
        <w:rPr>
          <w:rFonts w:ascii="Arial" w:hAnsi="Arial" w:eastAsia="MS Mincho" w:cs="Arial"/>
        </w:rPr>
        <w:t xml:space="preserve"> female</w:t>
      </w:r>
      <w:r w:rsidRPr="00B712C7" w:rsidR="00923216">
        <w:rPr>
          <w:rFonts w:ascii="Arial" w:hAnsi="Arial" w:eastAsia="MS Mincho" w:cs="Arial"/>
        </w:rPr>
        <w:t xml:space="preserve"> offenders was 17.5% (</w:t>
      </w:r>
      <w:r w:rsidRPr="00B712C7" w:rsidR="00923216">
        <w:rPr>
          <w:rFonts w:ascii="Arial" w:hAnsi="Arial" w:eastAsia="MS Mincho" w:cs="Arial"/>
          <w:i/>
        </w:rPr>
        <w:t>n</w:t>
      </w:r>
      <w:r w:rsidRPr="00B712C7" w:rsidR="00923216">
        <w:rPr>
          <w:rFonts w:ascii="Arial" w:hAnsi="Arial" w:eastAsia="MS Mincho" w:cs="Arial"/>
        </w:rPr>
        <w:t xml:space="preserve">=1,418) in 2009. </w:t>
      </w:r>
    </w:p>
    <w:p w:rsidR="008C7453" w:rsidP="00965C57" w:rsidRDefault="00965C57" w14:paraId="61A37E93" w14:textId="0C3F6701">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lastRenderedPageBreak/>
        <w:t>The</w:t>
      </w:r>
      <w:r w:rsidRPr="00B712C7" w:rsidR="00C35D99">
        <w:rPr>
          <w:rFonts w:ascii="Arial" w:hAnsi="Arial" w:eastAsia="MS Mincho" w:cs="Arial"/>
        </w:rPr>
        <w:t xml:space="preserve"> majority of drug use and possession offenders were aged under 30 at the time of</w:t>
      </w:r>
      <w:r w:rsidRPr="00B712C7" w:rsidR="00B21A2B">
        <w:rPr>
          <w:rFonts w:ascii="Arial" w:hAnsi="Arial" w:eastAsia="MS Mincho" w:cs="Arial"/>
        </w:rPr>
        <w:t xml:space="preserve"> their first recorded offence </w:t>
      </w:r>
      <w:r w:rsidRPr="00B712C7" w:rsidR="00160118">
        <w:rPr>
          <w:rFonts w:ascii="Arial" w:hAnsi="Arial" w:eastAsia="MS Mincho" w:cs="Arial"/>
        </w:rPr>
        <w:t xml:space="preserve">incident </w:t>
      </w:r>
      <w:r w:rsidRPr="00B712C7" w:rsidR="00B21A2B">
        <w:rPr>
          <w:rFonts w:ascii="Arial" w:hAnsi="Arial" w:eastAsia="MS Mincho" w:cs="Arial"/>
        </w:rPr>
        <w:t>during</w:t>
      </w:r>
      <w:r w:rsidRPr="00B712C7" w:rsidR="00C35D99">
        <w:rPr>
          <w:rFonts w:ascii="Arial" w:hAnsi="Arial" w:eastAsia="MS Mincho" w:cs="Arial"/>
        </w:rPr>
        <w:t xml:space="preserve"> the ten year period (62.7%, </w:t>
      </w:r>
      <w:r w:rsidRPr="00B712C7" w:rsidR="00C35D99">
        <w:rPr>
          <w:rFonts w:ascii="Arial" w:hAnsi="Arial" w:eastAsia="MS Mincho" w:cs="Arial"/>
          <w:i/>
        </w:rPr>
        <w:t>n</w:t>
      </w:r>
      <w:r w:rsidRPr="00B712C7" w:rsidR="00C35D99">
        <w:rPr>
          <w:rFonts w:ascii="Arial" w:hAnsi="Arial" w:eastAsia="MS Mincho" w:cs="Arial"/>
        </w:rPr>
        <w:t>=</w:t>
      </w:r>
      <w:r w:rsidRPr="00B712C7" w:rsidR="00BC26EC">
        <w:rPr>
          <w:rFonts w:ascii="Arial" w:hAnsi="Arial" w:eastAsia="MS Mincho" w:cs="Arial"/>
        </w:rPr>
        <w:t>41,160).</w:t>
      </w:r>
      <w:r w:rsidRPr="00B712C7">
        <w:rPr>
          <w:rFonts w:ascii="Arial" w:hAnsi="Arial" w:eastAsia="MS Mincho" w:cs="Arial"/>
        </w:rPr>
        <w:t xml:space="preserve"> </w:t>
      </w:r>
      <w:r w:rsidRPr="00B712C7" w:rsidR="00A00E85">
        <w:rPr>
          <w:rFonts w:ascii="Arial" w:hAnsi="Arial" w:eastAsia="MS Mincho" w:cs="Arial"/>
        </w:rPr>
        <w:t>At</w:t>
      </w:r>
      <w:r w:rsidRPr="00B712C7" w:rsidR="00160118">
        <w:rPr>
          <w:rFonts w:ascii="Arial" w:hAnsi="Arial" w:eastAsia="MS Mincho" w:cs="Arial"/>
        </w:rPr>
        <w:t xml:space="preserve"> the time of their first incident</w:t>
      </w:r>
      <w:r w:rsidRPr="00B712C7" w:rsidR="00A00E85">
        <w:rPr>
          <w:rFonts w:ascii="Arial" w:hAnsi="Arial" w:eastAsia="MS Mincho" w:cs="Arial"/>
        </w:rPr>
        <w:t>, t</w:t>
      </w:r>
      <w:r w:rsidRPr="00B712C7" w:rsidR="008C7453">
        <w:rPr>
          <w:rFonts w:ascii="Arial" w:hAnsi="Arial" w:eastAsia="MS Mincho" w:cs="Arial"/>
        </w:rPr>
        <w:t>he highest proportion</w:t>
      </w:r>
      <w:r w:rsidRPr="00B712C7" w:rsidR="00A00E85">
        <w:rPr>
          <w:rFonts w:ascii="Arial" w:hAnsi="Arial" w:eastAsia="MS Mincho" w:cs="Arial"/>
        </w:rPr>
        <w:t xml:space="preserve"> of offenders</w:t>
      </w:r>
      <w:r w:rsidRPr="00B712C7" w:rsidR="008C7453">
        <w:rPr>
          <w:rFonts w:ascii="Arial" w:hAnsi="Arial" w:eastAsia="MS Mincho" w:cs="Arial"/>
        </w:rPr>
        <w:t xml:space="preserve"> fell into th</w:t>
      </w:r>
      <w:r w:rsidRPr="00B712C7" w:rsidR="004222B7">
        <w:rPr>
          <w:rFonts w:ascii="Arial" w:hAnsi="Arial" w:eastAsia="MS Mincho" w:cs="Arial"/>
        </w:rPr>
        <w:t>e 20 to 24 year old age group</w:t>
      </w:r>
      <w:r w:rsidRPr="00B712C7" w:rsidR="008C7453">
        <w:rPr>
          <w:rFonts w:ascii="Arial" w:hAnsi="Arial" w:eastAsia="MS Mincho" w:cs="Arial"/>
        </w:rPr>
        <w:t xml:space="preserve"> (27.6%, </w:t>
      </w:r>
      <w:r w:rsidRPr="00B712C7" w:rsidR="008C7453">
        <w:rPr>
          <w:rFonts w:ascii="Arial" w:hAnsi="Arial" w:eastAsia="MS Mincho" w:cs="Arial"/>
          <w:i/>
        </w:rPr>
        <w:t>n</w:t>
      </w:r>
      <w:r w:rsidRPr="00B712C7" w:rsidR="008C7453">
        <w:rPr>
          <w:rFonts w:ascii="Arial" w:hAnsi="Arial" w:eastAsia="MS Mincho" w:cs="Arial"/>
        </w:rPr>
        <w:t>=18,107), followed b</w:t>
      </w:r>
      <w:r w:rsidRPr="00B712C7" w:rsidR="004222B7">
        <w:rPr>
          <w:rFonts w:ascii="Arial" w:hAnsi="Arial" w:eastAsia="MS Mincho" w:cs="Arial"/>
        </w:rPr>
        <w:t>y the 25 to 29 year old group</w:t>
      </w:r>
      <w:r w:rsidRPr="00B712C7" w:rsidR="008C7453">
        <w:rPr>
          <w:rFonts w:ascii="Arial" w:hAnsi="Arial" w:eastAsia="MS Mincho" w:cs="Arial"/>
        </w:rPr>
        <w:t xml:space="preserve"> (17.6%, </w:t>
      </w:r>
      <w:r w:rsidRPr="00B712C7" w:rsidR="008C7453">
        <w:rPr>
          <w:rFonts w:ascii="Arial" w:hAnsi="Arial" w:eastAsia="MS Mincho" w:cs="Arial"/>
          <w:i/>
        </w:rPr>
        <w:t>n</w:t>
      </w:r>
      <w:r w:rsidRPr="00B712C7" w:rsidR="008C7453">
        <w:rPr>
          <w:rFonts w:ascii="Arial" w:hAnsi="Arial" w:eastAsia="MS Mincho" w:cs="Arial"/>
        </w:rPr>
        <w:t>=11,581).</w:t>
      </w:r>
      <w:r w:rsidRPr="00B712C7" w:rsidR="00BC26EC">
        <w:rPr>
          <w:rFonts w:ascii="Arial" w:hAnsi="Arial" w:eastAsia="MS Mincho" w:cs="Arial"/>
        </w:rPr>
        <w:t xml:space="preserve">The </w:t>
      </w:r>
      <w:r w:rsidRPr="00B712C7">
        <w:rPr>
          <w:rFonts w:ascii="Arial" w:hAnsi="Arial" w:eastAsia="MS Mincho" w:cs="Arial"/>
        </w:rPr>
        <w:t xml:space="preserve">age profile of </w:t>
      </w:r>
      <w:r w:rsidRPr="00B712C7" w:rsidR="00C35D99">
        <w:rPr>
          <w:rFonts w:ascii="Arial" w:hAnsi="Arial" w:eastAsia="MS Mincho" w:cs="Arial"/>
        </w:rPr>
        <w:t xml:space="preserve">unique </w:t>
      </w:r>
      <w:r w:rsidRPr="00B712C7">
        <w:rPr>
          <w:rFonts w:ascii="Arial" w:hAnsi="Arial" w:eastAsia="MS Mincho" w:cs="Arial"/>
        </w:rPr>
        <w:t xml:space="preserve">drug use and possession offenders has </w:t>
      </w:r>
      <w:r w:rsidRPr="00B712C7" w:rsidR="00002CB3">
        <w:rPr>
          <w:rFonts w:ascii="Arial" w:hAnsi="Arial" w:eastAsia="MS Mincho" w:cs="Arial"/>
        </w:rPr>
        <w:t>remained relatively stable</w:t>
      </w:r>
      <w:r w:rsidRPr="00B712C7">
        <w:rPr>
          <w:rFonts w:ascii="Arial" w:hAnsi="Arial" w:eastAsia="MS Mincho" w:cs="Arial"/>
        </w:rPr>
        <w:t xml:space="preserve"> over time</w:t>
      </w:r>
      <w:r w:rsidRPr="00B712C7" w:rsidR="00C35D99">
        <w:rPr>
          <w:rFonts w:ascii="Arial" w:hAnsi="Arial" w:eastAsia="MS Mincho" w:cs="Arial"/>
        </w:rPr>
        <w:t>. This is</w:t>
      </w:r>
      <w:r w:rsidRPr="00B712C7">
        <w:rPr>
          <w:rFonts w:ascii="Arial" w:hAnsi="Arial" w:eastAsia="MS Mincho" w:cs="Arial"/>
        </w:rPr>
        <w:t xml:space="preserve"> high</w:t>
      </w:r>
      <w:r w:rsidRPr="00B712C7" w:rsidR="00A8792A">
        <w:rPr>
          <w:rFonts w:ascii="Arial" w:hAnsi="Arial" w:eastAsia="MS Mincho" w:cs="Arial"/>
        </w:rPr>
        <w:t>lighted in</w:t>
      </w:r>
      <w:r w:rsidRPr="00B712C7">
        <w:rPr>
          <w:rFonts w:ascii="Arial" w:hAnsi="Arial" w:eastAsia="MS Mincho" w:cs="Arial"/>
        </w:rPr>
        <w:t xml:space="preserve"> </w:t>
      </w:r>
      <w:r w:rsidRPr="00B712C7" w:rsidR="00261772">
        <w:rPr>
          <w:rFonts w:ascii="Arial" w:hAnsi="Arial" w:eastAsia="MS Mincho" w:cs="Arial"/>
        </w:rPr>
        <w:t>F</w:t>
      </w:r>
      <w:r w:rsidRPr="00B712C7">
        <w:rPr>
          <w:rFonts w:ascii="Arial" w:hAnsi="Arial" w:eastAsia="MS Mincho" w:cs="Arial"/>
        </w:rPr>
        <w:t xml:space="preserve">igure </w:t>
      </w:r>
      <w:r w:rsidRPr="00B712C7" w:rsidR="002460AF">
        <w:rPr>
          <w:rFonts w:ascii="Arial" w:hAnsi="Arial" w:eastAsia="MS Mincho" w:cs="Arial"/>
        </w:rPr>
        <w:t>5</w:t>
      </w:r>
      <w:r w:rsidRPr="00B712C7" w:rsidR="00C35D99">
        <w:rPr>
          <w:rFonts w:ascii="Arial" w:hAnsi="Arial" w:eastAsia="MS Mincho" w:cs="Arial"/>
        </w:rPr>
        <w:t>, which shows the proportion of unique offenders per year th</w:t>
      </w:r>
      <w:r w:rsidRPr="00B712C7" w:rsidR="004222B7">
        <w:rPr>
          <w:rFonts w:ascii="Arial" w:hAnsi="Arial" w:eastAsia="MS Mincho" w:cs="Arial"/>
        </w:rPr>
        <w:t xml:space="preserve">at fell into each age group. </w:t>
      </w:r>
    </w:p>
    <w:p w:rsidRPr="00B712C7" w:rsidR="00A06EEC" w:rsidP="00965C57" w:rsidRDefault="00A06EEC" w14:paraId="0153CA98"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p>
    <w:p w:rsidRPr="00B712C7" w:rsidR="00002CB3" w:rsidP="00965C57" w:rsidRDefault="00002CB3" w14:paraId="6AB46592" w14:textId="67E71A65">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cs="Arial"/>
        </w:rPr>
        <w:t xml:space="preserve">Figure </w:t>
      </w:r>
      <w:r w:rsidRPr="00B712C7" w:rsidR="002460AF">
        <w:rPr>
          <w:rFonts w:ascii="Arial" w:hAnsi="Arial" w:cs="Arial"/>
        </w:rPr>
        <w:t>5</w:t>
      </w:r>
      <w:r w:rsidRPr="00B712C7">
        <w:rPr>
          <w:rFonts w:ascii="Arial" w:hAnsi="Arial" w:cs="Arial"/>
        </w:rPr>
        <w:t>: Age profile of unique offenders, 2005 – 2014</w:t>
      </w:r>
    </w:p>
    <w:p w:rsidRPr="00B712C7" w:rsidR="00965C57" w:rsidP="00965C57" w:rsidRDefault="00002CB3" w14:paraId="25A98894"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cs="Arial"/>
          <w:noProof/>
          <w:lang w:eastAsia="en-AU"/>
        </w:rPr>
        <w:drawing>
          <wp:inline distT="0" distB="0" distL="0" distR="0">
            <wp:extent cx="6029325" cy="3219450"/>
            <wp:effectExtent l="0" t="0" r="0"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 name="Chart 2"/>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3:chart xmlns:ns3="http://schemas.openxmlformats.org/drawingml/2006/chart" r:id="rId12"/>
              </a:graphicData>
            </a:graphic>
          </wp:inline>
        </w:drawing>
      </w:r>
    </w:p>
    <w:p w:rsidRPr="00B712C7" w:rsidR="00381975" w:rsidP="00B21A2B" w:rsidRDefault="00F36194" w14:paraId="2327B7CF" w14:textId="60456BAA">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Overall, there was a</w:t>
      </w:r>
      <w:r w:rsidRPr="00B712C7" w:rsidR="003F52EF">
        <w:rPr>
          <w:rFonts w:ascii="Arial" w:hAnsi="Arial" w:eastAsia="MS Mincho" w:cs="Arial"/>
        </w:rPr>
        <w:t xml:space="preserve"> small, yet</w:t>
      </w:r>
      <w:r w:rsidRPr="00B712C7">
        <w:rPr>
          <w:rFonts w:ascii="Arial" w:hAnsi="Arial" w:eastAsia="MS Mincho" w:cs="Arial"/>
        </w:rPr>
        <w:t xml:space="preserve"> statistically significant relationship between age category at t</w:t>
      </w:r>
      <w:r w:rsidRPr="00B712C7" w:rsidR="004222B7">
        <w:rPr>
          <w:rFonts w:ascii="Arial" w:hAnsi="Arial" w:eastAsia="MS Mincho" w:cs="Arial"/>
        </w:rPr>
        <w:t>ime of first</w:t>
      </w:r>
      <w:r w:rsidRPr="00B712C7" w:rsidR="00135BEA">
        <w:rPr>
          <w:rFonts w:ascii="Arial" w:hAnsi="Arial" w:eastAsia="MS Mincho" w:cs="Arial"/>
        </w:rPr>
        <w:t xml:space="preserve"> drug use and possession offence across the ten year dataset</w:t>
      </w:r>
      <w:r w:rsidRPr="00B712C7" w:rsidR="004222B7">
        <w:rPr>
          <w:rFonts w:ascii="Arial" w:hAnsi="Arial" w:eastAsia="MS Mincho" w:cs="Arial"/>
        </w:rPr>
        <w:t xml:space="preserve"> </w:t>
      </w:r>
      <w:r w:rsidRPr="00B712C7">
        <w:rPr>
          <w:rFonts w:ascii="Arial" w:hAnsi="Arial" w:eastAsia="MS Mincho" w:cs="Arial"/>
        </w:rPr>
        <w:t>and sex</w:t>
      </w:r>
      <w:r w:rsidRPr="00B712C7" w:rsidR="00E11782">
        <w:rPr>
          <w:rStyle w:val="FootnoteReference"/>
          <w:rFonts w:ascii="Arial" w:hAnsi="Arial" w:eastAsia="MS Mincho" w:cs="Arial"/>
        </w:rPr>
        <w:footnoteReference w:id="1"/>
      </w:r>
      <w:r w:rsidRPr="00B712C7" w:rsidR="003F52EF">
        <w:rPr>
          <w:rFonts w:ascii="Arial" w:hAnsi="Arial" w:eastAsia="MS Mincho" w:cs="Arial"/>
        </w:rPr>
        <w:t xml:space="preserve">.  </w:t>
      </w:r>
      <w:r w:rsidRPr="00B712C7" w:rsidR="00145B7A">
        <w:rPr>
          <w:rFonts w:ascii="Arial" w:hAnsi="Arial" w:eastAsia="MS Mincho" w:cs="Arial"/>
        </w:rPr>
        <w:t>Females were statistically slightly more likely to fall into the youngest age category, 10 to 14 year olds</w:t>
      </w:r>
      <w:r w:rsidRPr="00B712C7" w:rsidR="00741D1D">
        <w:rPr>
          <w:rFonts w:ascii="Arial" w:hAnsi="Arial" w:eastAsia="MS Mincho" w:cs="Arial"/>
        </w:rPr>
        <w:t>,</w:t>
      </w:r>
      <w:r w:rsidRPr="00B712C7" w:rsidR="00145B7A">
        <w:rPr>
          <w:rFonts w:ascii="Arial" w:hAnsi="Arial" w:eastAsia="MS Mincho" w:cs="Arial"/>
        </w:rPr>
        <w:t xml:space="preserve"> at the time of their first offence. </w:t>
      </w:r>
      <w:r w:rsidRPr="00B712C7" w:rsidR="00676111">
        <w:rPr>
          <w:rFonts w:ascii="Arial" w:hAnsi="Arial" w:eastAsia="MS Mincho" w:cs="Arial"/>
        </w:rPr>
        <w:t>As shown in</w:t>
      </w:r>
      <w:r w:rsidRPr="00B712C7" w:rsidR="00160118">
        <w:rPr>
          <w:rFonts w:ascii="Arial" w:hAnsi="Arial" w:eastAsia="MS Mincho" w:cs="Arial"/>
        </w:rPr>
        <w:t xml:space="preserve"> T</w:t>
      </w:r>
      <w:r w:rsidRPr="00B712C7" w:rsidR="00676111">
        <w:rPr>
          <w:rFonts w:ascii="Arial" w:hAnsi="Arial" w:eastAsia="MS Mincho" w:cs="Arial"/>
        </w:rPr>
        <w:t>a</w:t>
      </w:r>
      <w:r w:rsidRPr="00B712C7" w:rsidR="00A91C65">
        <w:rPr>
          <w:rFonts w:ascii="Arial" w:hAnsi="Arial" w:eastAsia="MS Mincho" w:cs="Arial"/>
        </w:rPr>
        <w:t>ble 3</w:t>
      </w:r>
      <w:r w:rsidRPr="00B712C7" w:rsidR="00676111">
        <w:rPr>
          <w:rFonts w:ascii="Arial" w:hAnsi="Arial" w:eastAsia="MS Mincho" w:cs="Arial"/>
        </w:rPr>
        <w:t>, 1.0%</w:t>
      </w:r>
      <w:r w:rsidRPr="00B712C7" w:rsidR="00145B7A">
        <w:rPr>
          <w:rFonts w:ascii="Arial" w:hAnsi="Arial" w:eastAsia="MS Mincho" w:cs="Arial"/>
        </w:rPr>
        <w:t xml:space="preserve"> (</w:t>
      </w:r>
      <w:r w:rsidRPr="00B712C7" w:rsidR="00145B7A">
        <w:rPr>
          <w:rFonts w:ascii="Arial" w:hAnsi="Arial" w:eastAsia="MS Mincho" w:cs="Arial"/>
          <w:i/>
        </w:rPr>
        <w:t>n</w:t>
      </w:r>
      <w:r w:rsidRPr="00B712C7" w:rsidR="00145B7A">
        <w:rPr>
          <w:rFonts w:ascii="Arial" w:hAnsi="Arial" w:eastAsia="MS Mincho" w:cs="Arial"/>
        </w:rPr>
        <w:t>=118) of females fell into this category compared to 0.8% (</w:t>
      </w:r>
      <w:r w:rsidRPr="00B712C7" w:rsidR="00145B7A">
        <w:rPr>
          <w:rFonts w:ascii="Arial" w:hAnsi="Arial" w:eastAsia="MS Mincho" w:cs="Arial"/>
          <w:i/>
        </w:rPr>
        <w:t>n</w:t>
      </w:r>
      <w:r w:rsidRPr="00B712C7" w:rsidR="00145B7A">
        <w:rPr>
          <w:rFonts w:ascii="Arial" w:hAnsi="Arial" w:eastAsia="MS Mincho" w:cs="Arial"/>
        </w:rPr>
        <w:t>=400) of males. Females were also more likely to fall in</w:t>
      </w:r>
      <w:r w:rsidRPr="00B712C7" w:rsidR="00676111">
        <w:rPr>
          <w:rFonts w:ascii="Arial" w:hAnsi="Arial" w:eastAsia="MS Mincho" w:cs="Arial"/>
        </w:rPr>
        <w:t>to an age category older than 35</w:t>
      </w:r>
      <w:r w:rsidRPr="00B712C7" w:rsidR="00145B7A">
        <w:rPr>
          <w:rFonts w:ascii="Arial" w:hAnsi="Arial" w:eastAsia="MS Mincho" w:cs="Arial"/>
        </w:rPr>
        <w:t xml:space="preserve"> at the time of their first offence: </w:t>
      </w:r>
      <w:r w:rsidRPr="00B712C7" w:rsidR="00676111">
        <w:rPr>
          <w:rFonts w:ascii="Arial" w:hAnsi="Arial" w:eastAsia="MS Mincho" w:cs="Arial"/>
        </w:rPr>
        <w:t>11.3% (</w:t>
      </w:r>
      <w:r w:rsidRPr="00B712C7" w:rsidR="00676111">
        <w:rPr>
          <w:rFonts w:ascii="Arial" w:hAnsi="Arial" w:eastAsia="MS Mincho" w:cs="Arial"/>
          <w:i/>
        </w:rPr>
        <w:t>n=</w:t>
      </w:r>
      <w:r w:rsidRPr="00B712C7" w:rsidR="00676111">
        <w:rPr>
          <w:rFonts w:ascii="Arial" w:hAnsi="Arial" w:eastAsia="MS Mincho" w:cs="Arial"/>
        </w:rPr>
        <w:t>1,357) were aged 35 to 39 compared with 9.6% (</w:t>
      </w:r>
      <w:r w:rsidRPr="00B712C7" w:rsidR="00676111">
        <w:rPr>
          <w:rFonts w:ascii="Arial" w:hAnsi="Arial" w:eastAsia="MS Mincho" w:cs="Arial"/>
          <w:i/>
        </w:rPr>
        <w:t>n</w:t>
      </w:r>
      <w:r w:rsidRPr="00B712C7" w:rsidR="00676111">
        <w:rPr>
          <w:rFonts w:ascii="Arial" w:hAnsi="Arial" w:eastAsia="MS Mincho" w:cs="Arial"/>
        </w:rPr>
        <w:t>=5,148) of males;</w:t>
      </w:r>
      <w:r w:rsidRPr="00B712C7" w:rsidR="00676111">
        <w:rPr>
          <w:rFonts w:ascii="Arial" w:hAnsi="Arial" w:eastAsia="MS Mincho" w:cs="Arial"/>
          <w:i/>
        </w:rPr>
        <w:t xml:space="preserve"> </w:t>
      </w:r>
      <w:r w:rsidRPr="00B712C7" w:rsidR="00145B7A">
        <w:rPr>
          <w:rFonts w:ascii="Arial" w:hAnsi="Arial" w:eastAsia="MS Mincho" w:cs="Arial"/>
        </w:rPr>
        <w:t>7.9% (</w:t>
      </w:r>
      <w:r w:rsidRPr="00B712C7" w:rsidR="00145B7A">
        <w:rPr>
          <w:rFonts w:ascii="Arial" w:hAnsi="Arial" w:eastAsia="MS Mincho" w:cs="Arial"/>
          <w:i/>
        </w:rPr>
        <w:t>n</w:t>
      </w:r>
      <w:r w:rsidRPr="00B712C7" w:rsidR="00145B7A">
        <w:rPr>
          <w:rFonts w:ascii="Arial" w:hAnsi="Arial" w:eastAsia="MS Mincho" w:cs="Arial"/>
        </w:rPr>
        <w:t>=947) were aged 40 to 44</w:t>
      </w:r>
      <w:r w:rsidRPr="00B712C7" w:rsidR="00676111">
        <w:rPr>
          <w:rFonts w:ascii="Arial" w:hAnsi="Arial" w:eastAsia="MS Mincho" w:cs="Arial"/>
        </w:rPr>
        <w:t>, compared with 6.8% (</w:t>
      </w:r>
      <w:r w:rsidRPr="00B712C7" w:rsidR="00676111">
        <w:rPr>
          <w:rFonts w:ascii="Arial" w:hAnsi="Arial" w:eastAsia="MS Mincho" w:cs="Arial"/>
          <w:i/>
        </w:rPr>
        <w:t>n</w:t>
      </w:r>
      <w:r w:rsidRPr="00B712C7" w:rsidR="00676111">
        <w:rPr>
          <w:rFonts w:ascii="Arial" w:hAnsi="Arial" w:eastAsia="MS Mincho" w:cs="Arial"/>
        </w:rPr>
        <w:t>=3,616) of males</w:t>
      </w:r>
      <w:r w:rsidRPr="00B712C7" w:rsidR="00145B7A">
        <w:rPr>
          <w:rFonts w:ascii="Arial" w:hAnsi="Arial" w:eastAsia="MS Mincho" w:cs="Arial"/>
        </w:rPr>
        <w:t>;</w:t>
      </w:r>
      <w:r w:rsidRPr="00B712C7" w:rsidR="00676111">
        <w:rPr>
          <w:rFonts w:ascii="Arial" w:hAnsi="Arial" w:eastAsia="MS Mincho" w:cs="Arial"/>
        </w:rPr>
        <w:t xml:space="preserve"> and 4.8% (</w:t>
      </w:r>
      <w:r w:rsidRPr="00B712C7" w:rsidR="00676111">
        <w:rPr>
          <w:rFonts w:ascii="Arial" w:hAnsi="Arial" w:eastAsia="MS Mincho" w:cs="Arial"/>
          <w:i/>
        </w:rPr>
        <w:t>n</w:t>
      </w:r>
      <w:r w:rsidRPr="00B712C7" w:rsidR="00676111">
        <w:rPr>
          <w:rFonts w:ascii="Arial" w:hAnsi="Arial" w:eastAsia="MS Mincho" w:cs="Arial"/>
        </w:rPr>
        <w:t>=577) were aged 45 to 49, compared with 3.9% (</w:t>
      </w:r>
      <w:r w:rsidRPr="00B712C7" w:rsidR="00676111">
        <w:rPr>
          <w:rFonts w:ascii="Arial" w:hAnsi="Arial" w:eastAsia="MS Mincho" w:cs="Arial"/>
          <w:i/>
        </w:rPr>
        <w:t>n</w:t>
      </w:r>
      <w:r w:rsidRPr="00B712C7" w:rsidR="00676111">
        <w:rPr>
          <w:rFonts w:ascii="Arial" w:hAnsi="Arial" w:eastAsia="MS Mincho" w:cs="Arial"/>
        </w:rPr>
        <w:t xml:space="preserve">=2,073) of males. On the other hand, males were more likely to fall into the 15 to 19 and 20 to 24 year old age groups at the time of </w:t>
      </w:r>
      <w:r w:rsidRPr="00B712C7" w:rsidR="00334ADA">
        <w:rPr>
          <w:rFonts w:ascii="Arial" w:hAnsi="Arial" w:eastAsia="MS Mincho" w:cs="Arial"/>
        </w:rPr>
        <w:t>their first offence, with 17.0%</w:t>
      </w:r>
      <w:r w:rsidRPr="00B712C7" w:rsidR="00676111">
        <w:rPr>
          <w:rFonts w:ascii="Arial" w:hAnsi="Arial" w:eastAsia="MS Mincho" w:cs="Arial"/>
          <w:i/>
        </w:rPr>
        <w:t xml:space="preserve"> </w:t>
      </w:r>
      <w:r w:rsidRPr="00B712C7" w:rsidR="00334ADA">
        <w:rPr>
          <w:rFonts w:ascii="Arial" w:hAnsi="Arial" w:eastAsia="MS Mincho" w:cs="Arial"/>
        </w:rPr>
        <w:t>(</w:t>
      </w:r>
      <w:r w:rsidRPr="00B712C7" w:rsidR="00334ADA">
        <w:rPr>
          <w:rFonts w:ascii="Arial" w:hAnsi="Arial" w:eastAsia="MS Mincho" w:cs="Arial"/>
          <w:i/>
        </w:rPr>
        <w:t>n</w:t>
      </w:r>
      <w:r w:rsidRPr="00B712C7" w:rsidR="00334ADA">
        <w:rPr>
          <w:rFonts w:ascii="Arial" w:hAnsi="Arial" w:eastAsia="MS Mincho" w:cs="Arial"/>
        </w:rPr>
        <w:t>=9,149)</w:t>
      </w:r>
      <w:r w:rsidRPr="00B712C7" w:rsidR="00334ADA">
        <w:rPr>
          <w:rFonts w:ascii="Arial" w:hAnsi="Arial" w:eastAsia="MS Mincho" w:cs="Arial"/>
          <w:i/>
        </w:rPr>
        <w:t xml:space="preserve"> </w:t>
      </w:r>
      <w:r w:rsidRPr="00B712C7" w:rsidR="00676111">
        <w:rPr>
          <w:rFonts w:ascii="Arial" w:hAnsi="Arial" w:eastAsia="MS Mincho" w:cs="Arial"/>
        </w:rPr>
        <w:t>of males aged between</w:t>
      </w:r>
      <w:r w:rsidRPr="00B712C7" w:rsidR="00334ADA">
        <w:rPr>
          <w:rFonts w:ascii="Arial" w:hAnsi="Arial" w:eastAsia="MS Mincho" w:cs="Arial"/>
        </w:rPr>
        <w:t xml:space="preserve"> 15 and 19 compared with 14.9% (</w:t>
      </w:r>
      <w:r w:rsidRPr="00B712C7" w:rsidR="00334ADA">
        <w:rPr>
          <w:rFonts w:ascii="Arial" w:hAnsi="Arial" w:eastAsia="MS Mincho" w:cs="Arial"/>
          <w:i/>
        </w:rPr>
        <w:t>n</w:t>
      </w:r>
      <w:r w:rsidRPr="00B712C7" w:rsidR="00334ADA">
        <w:rPr>
          <w:rFonts w:ascii="Arial" w:hAnsi="Arial" w:eastAsia="MS Mincho" w:cs="Arial"/>
        </w:rPr>
        <w:t>=1,792) of females and 28.1% (</w:t>
      </w:r>
      <w:r w:rsidRPr="00B712C7" w:rsidR="00334ADA">
        <w:rPr>
          <w:rFonts w:ascii="Arial" w:hAnsi="Arial" w:eastAsia="MS Mincho" w:cs="Arial"/>
          <w:i/>
        </w:rPr>
        <w:t>n</w:t>
      </w:r>
      <w:r w:rsidRPr="00B712C7" w:rsidR="00334ADA">
        <w:rPr>
          <w:rFonts w:ascii="Arial" w:hAnsi="Arial" w:eastAsia="MS Mincho" w:cs="Arial"/>
        </w:rPr>
        <w:t>=15,037) of males aged between 20 and 24 compared with 25.2% (</w:t>
      </w:r>
      <w:r w:rsidRPr="00B712C7" w:rsidR="00334ADA">
        <w:rPr>
          <w:rFonts w:ascii="Arial" w:hAnsi="Arial" w:eastAsia="MS Mincho" w:cs="Arial"/>
          <w:i/>
        </w:rPr>
        <w:t>n</w:t>
      </w:r>
      <w:r w:rsidRPr="00B712C7" w:rsidR="00334ADA">
        <w:rPr>
          <w:rFonts w:ascii="Arial" w:hAnsi="Arial" w:eastAsia="MS Mincho" w:cs="Arial"/>
        </w:rPr>
        <w:t>=3,036) of females.</w:t>
      </w:r>
      <w:r w:rsidRPr="00B712C7" w:rsidR="00676111">
        <w:rPr>
          <w:rFonts w:ascii="Arial" w:hAnsi="Arial" w:eastAsia="MS Mincho" w:cs="Arial"/>
        </w:rPr>
        <w:t xml:space="preserve"> </w:t>
      </w:r>
      <w:r w:rsidRPr="00B712C7" w:rsidR="00160118">
        <w:rPr>
          <w:rFonts w:ascii="Arial" w:hAnsi="Arial" w:eastAsia="MS Mincho" w:cs="Arial"/>
        </w:rPr>
        <w:t>These results are als</w:t>
      </w:r>
      <w:r w:rsidRPr="00B712C7" w:rsidR="002460AF">
        <w:rPr>
          <w:rFonts w:ascii="Arial" w:hAnsi="Arial" w:eastAsia="MS Mincho" w:cs="Arial"/>
        </w:rPr>
        <w:t>o depicted in Figure 6</w:t>
      </w:r>
      <w:r w:rsidRPr="00B712C7" w:rsidR="00160118">
        <w:rPr>
          <w:rFonts w:ascii="Arial" w:hAnsi="Arial" w:eastAsia="MS Mincho" w:cs="Arial"/>
        </w:rPr>
        <w:t>.</w:t>
      </w:r>
    </w:p>
    <w:p w:rsidRPr="00B712C7" w:rsidR="000E4AB3" w:rsidP="00B21A2B" w:rsidRDefault="000E4AB3" w14:paraId="128D81FC" w14:textId="77777777">
      <w:pPr>
        <w:widowControl w:val="false"/>
        <w:suppressAutoHyphens/>
        <w:autoSpaceDE w:val="false"/>
        <w:autoSpaceDN w:val="false"/>
        <w:adjustRightInd w:val="false"/>
        <w:spacing w:before="170" w:after="57" w:line="300" w:lineRule="atLeast"/>
        <w:textAlignment w:val="center"/>
        <w:outlineLvl w:val="2"/>
        <w:rPr>
          <w:rFonts w:ascii="Arial" w:hAnsi="Arial" w:cs="Arial"/>
        </w:rPr>
      </w:pPr>
    </w:p>
    <w:p w:rsidR="00A06EEC" w:rsidP="00B21A2B" w:rsidRDefault="00A06EEC" w14:paraId="068FD907" w14:textId="77777777">
      <w:pPr>
        <w:widowControl w:val="false"/>
        <w:suppressAutoHyphens/>
        <w:autoSpaceDE w:val="false"/>
        <w:autoSpaceDN w:val="false"/>
        <w:adjustRightInd w:val="false"/>
        <w:spacing w:before="170" w:after="57" w:line="300" w:lineRule="atLeast"/>
        <w:textAlignment w:val="center"/>
        <w:outlineLvl w:val="2"/>
        <w:rPr>
          <w:rFonts w:ascii="Arial" w:hAnsi="Arial" w:cs="Arial"/>
        </w:rPr>
      </w:pPr>
    </w:p>
    <w:p w:rsidR="003439FE" w:rsidP="00B21A2B" w:rsidRDefault="003439FE" w14:paraId="775F449C" w14:textId="77777777">
      <w:pPr>
        <w:widowControl w:val="false"/>
        <w:suppressAutoHyphens/>
        <w:autoSpaceDE w:val="false"/>
        <w:autoSpaceDN w:val="false"/>
        <w:adjustRightInd w:val="false"/>
        <w:spacing w:before="170" w:after="57" w:line="300" w:lineRule="atLeast"/>
        <w:textAlignment w:val="center"/>
        <w:outlineLvl w:val="2"/>
        <w:rPr>
          <w:rFonts w:ascii="Arial" w:hAnsi="Arial" w:cs="Arial"/>
        </w:rPr>
      </w:pPr>
    </w:p>
    <w:p w:rsidRPr="00B712C7" w:rsidR="00517965" w:rsidP="00B21A2B" w:rsidRDefault="00381975" w14:paraId="45C34AC1" w14:textId="05590D11">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cs="Arial"/>
        </w:rPr>
        <w:lastRenderedPageBreak/>
        <w:t>T</w:t>
      </w:r>
      <w:r w:rsidRPr="00B712C7" w:rsidR="008D45E5">
        <w:rPr>
          <w:rFonts w:ascii="Arial" w:hAnsi="Arial" w:cs="Arial"/>
        </w:rPr>
        <w:t xml:space="preserve">able </w:t>
      </w:r>
      <w:r w:rsidRPr="00B712C7" w:rsidR="00A91C65">
        <w:rPr>
          <w:rFonts w:ascii="Arial" w:hAnsi="Arial" w:cs="Arial"/>
        </w:rPr>
        <w:t>3</w:t>
      </w:r>
      <w:r w:rsidRPr="00B712C7" w:rsidR="008D45E5">
        <w:rPr>
          <w:rFonts w:ascii="Arial" w:hAnsi="Arial" w:cs="Arial"/>
        </w:rPr>
        <w:t>: Age at first offence</w:t>
      </w:r>
      <w:r w:rsidRPr="00B712C7" w:rsidR="00361ABC">
        <w:rPr>
          <w:rFonts w:ascii="Arial" w:hAnsi="Arial" w:cs="Arial"/>
        </w:rPr>
        <w:t xml:space="preserve"> incident</w:t>
      </w:r>
      <w:r w:rsidRPr="00B712C7" w:rsidR="008D45E5">
        <w:rPr>
          <w:rFonts w:ascii="Arial" w:hAnsi="Arial" w:cs="Arial"/>
        </w:rPr>
        <w:t xml:space="preserve"> for females and males</w:t>
      </w:r>
    </w:p>
    <w:tbl>
      <w:tblPr>
        <w:tblStyle w:val="TableGrid"/>
        <w:tblW w:w="0" w:type="auto"/>
        <w:tblLook w:firstRow="1" w:lastRow="0" w:firstColumn="1" w:lastColumn="0" w:noHBand="0" w:noVBand="1" w:val="04A0"/>
      </w:tblPr>
      <w:tblGrid>
        <w:gridCol w:w="1985"/>
        <w:gridCol w:w="1204"/>
        <w:gridCol w:w="1205"/>
        <w:gridCol w:w="1205"/>
        <w:gridCol w:w="1205"/>
        <w:gridCol w:w="1205"/>
        <w:gridCol w:w="1205"/>
      </w:tblGrid>
      <w:tr w:rsidRPr="00B712C7" w:rsidR="00517965" w:rsidTr="00517965" w14:paraId="62EAC13D" w14:textId="77777777">
        <w:tc>
          <w:tcPr>
            <w:tcW w:w="1985" w:type="dxa"/>
            <w:tcBorders>
              <w:left w:val="nil"/>
              <w:bottom w:val="nil"/>
              <w:right w:val="nil"/>
            </w:tcBorders>
            <w:shd w:val="clear" w:color="auto" w:fill="881E76"/>
          </w:tcPr>
          <w:p w:rsidRPr="00B712C7" w:rsidR="00517965" w:rsidP="00517965" w:rsidRDefault="00517965" w14:paraId="70179DAF" w14:textId="77777777">
            <w:pPr>
              <w:pStyle w:val="BodyText"/>
              <w:rPr>
                <w:rFonts w:ascii="Arial" w:hAnsi="Arial" w:cs="Arial"/>
                <w:b/>
                <w:color w:val="FFFFFF" w:themeColor="background1"/>
                <w:sz w:val="20"/>
                <w:szCs w:val="20"/>
              </w:rPr>
            </w:pPr>
          </w:p>
        </w:tc>
        <w:tc>
          <w:tcPr>
            <w:tcW w:w="2409" w:type="dxa"/>
            <w:gridSpan w:val="2"/>
            <w:tcBorders>
              <w:left w:val="nil"/>
              <w:bottom w:val="nil"/>
              <w:right w:val="nil"/>
            </w:tcBorders>
            <w:shd w:val="clear" w:color="auto" w:fill="881E76"/>
            <w:vAlign w:val="center"/>
          </w:tcPr>
          <w:p w:rsidRPr="00B712C7" w:rsidR="00517965" w:rsidP="00DB4DE2" w:rsidRDefault="00517965" w14:paraId="55093F07" w14:textId="77777777">
            <w:pPr>
              <w:pStyle w:val="BodyText"/>
              <w:jc w:val="center"/>
              <w:rPr>
                <w:rFonts w:ascii="Arial" w:hAnsi="Arial" w:cs="Arial"/>
                <w:b/>
                <w:color w:val="FFFFFF" w:themeColor="background1"/>
                <w:sz w:val="20"/>
                <w:szCs w:val="20"/>
              </w:rPr>
            </w:pPr>
            <w:r w:rsidRPr="00B712C7">
              <w:rPr>
                <w:rFonts w:ascii="Arial" w:hAnsi="Arial" w:cs="Arial"/>
                <w:b/>
                <w:color w:val="FFFFFF" w:themeColor="background1"/>
                <w:sz w:val="20"/>
                <w:szCs w:val="20"/>
              </w:rPr>
              <w:t>Female Offenders</w:t>
            </w:r>
          </w:p>
        </w:tc>
        <w:tc>
          <w:tcPr>
            <w:tcW w:w="2410" w:type="dxa"/>
            <w:gridSpan w:val="2"/>
            <w:tcBorders>
              <w:left w:val="nil"/>
              <w:bottom w:val="nil"/>
              <w:right w:val="nil"/>
            </w:tcBorders>
            <w:shd w:val="clear" w:color="auto" w:fill="881E76"/>
            <w:vAlign w:val="center"/>
          </w:tcPr>
          <w:p w:rsidRPr="00B712C7" w:rsidR="00517965" w:rsidP="00DB4DE2" w:rsidRDefault="00517965" w14:paraId="5EC3E481" w14:textId="77777777">
            <w:pPr>
              <w:pStyle w:val="BodyText"/>
              <w:jc w:val="center"/>
              <w:rPr>
                <w:rFonts w:ascii="Arial" w:hAnsi="Arial" w:cs="Arial"/>
                <w:b/>
                <w:color w:val="FFFFFF" w:themeColor="background1"/>
                <w:sz w:val="20"/>
                <w:szCs w:val="20"/>
              </w:rPr>
            </w:pPr>
            <w:r w:rsidRPr="00B712C7">
              <w:rPr>
                <w:rFonts w:ascii="Arial" w:hAnsi="Arial" w:cs="Arial"/>
                <w:b/>
                <w:color w:val="FFFFFF" w:themeColor="background1"/>
                <w:sz w:val="20"/>
                <w:szCs w:val="20"/>
              </w:rPr>
              <w:t>Male Offenders</w:t>
            </w:r>
          </w:p>
        </w:tc>
        <w:tc>
          <w:tcPr>
            <w:tcW w:w="2410" w:type="dxa"/>
            <w:gridSpan w:val="2"/>
            <w:tcBorders>
              <w:left w:val="nil"/>
              <w:bottom w:val="nil"/>
              <w:right w:val="nil"/>
            </w:tcBorders>
            <w:shd w:val="clear" w:color="auto" w:fill="881E76"/>
          </w:tcPr>
          <w:p w:rsidRPr="00B712C7" w:rsidR="00517965" w:rsidP="00DB4DE2" w:rsidRDefault="00517965" w14:paraId="1C221776" w14:textId="77777777">
            <w:pPr>
              <w:pStyle w:val="BodyText"/>
              <w:jc w:val="center"/>
              <w:rPr>
                <w:rFonts w:ascii="Arial" w:hAnsi="Arial" w:cs="Arial"/>
                <w:b/>
                <w:color w:val="FFFFFF" w:themeColor="background1"/>
                <w:sz w:val="20"/>
                <w:szCs w:val="20"/>
              </w:rPr>
            </w:pPr>
            <w:r w:rsidRPr="00B712C7">
              <w:rPr>
                <w:rFonts w:ascii="Arial" w:hAnsi="Arial" w:cs="Arial"/>
                <w:b/>
                <w:color w:val="FFFFFF" w:themeColor="background1"/>
                <w:sz w:val="20"/>
                <w:szCs w:val="20"/>
              </w:rPr>
              <w:t>Total</w:t>
            </w:r>
          </w:p>
        </w:tc>
      </w:tr>
      <w:tr w:rsidRPr="00B712C7" w:rsidR="00517965" w:rsidTr="00517965" w14:paraId="21E4C642" w14:textId="77777777">
        <w:tc>
          <w:tcPr>
            <w:tcW w:w="1985" w:type="dxa"/>
            <w:tcBorders>
              <w:top w:val="nil"/>
              <w:left w:val="nil"/>
              <w:bottom w:val="single" w:color="auto" w:sz="4" w:space="0"/>
              <w:right w:val="nil"/>
            </w:tcBorders>
            <w:shd w:val="clear" w:color="auto" w:fill="881E76"/>
          </w:tcPr>
          <w:p w:rsidRPr="00B712C7" w:rsidR="00517965" w:rsidP="00517965" w:rsidRDefault="00517965" w14:paraId="630423EA" w14:textId="77777777">
            <w:pPr>
              <w:pStyle w:val="BodyText"/>
              <w:rPr>
                <w:rFonts w:ascii="Arial" w:hAnsi="Arial" w:cs="Arial"/>
                <w:b/>
                <w:color w:val="FFFFFF" w:themeColor="background1"/>
                <w:sz w:val="20"/>
                <w:szCs w:val="20"/>
              </w:rPr>
            </w:pPr>
            <w:r w:rsidRPr="00B712C7">
              <w:rPr>
                <w:rFonts w:ascii="Arial" w:hAnsi="Arial" w:cs="Arial"/>
                <w:b/>
                <w:color w:val="FFFFFF" w:themeColor="background1"/>
                <w:sz w:val="20"/>
                <w:szCs w:val="20"/>
              </w:rPr>
              <w:t>Age at first offence</w:t>
            </w:r>
          </w:p>
        </w:tc>
        <w:tc>
          <w:tcPr>
            <w:tcW w:w="1204" w:type="dxa"/>
            <w:tcBorders>
              <w:top w:val="nil"/>
              <w:left w:val="nil"/>
              <w:bottom w:val="single" w:color="auto" w:sz="4" w:space="0"/>
              <w:right w:val="nil"/>
            </w:tcBorders>
            <w:shd w:val="clear" w:color="auto" w:fill="881E76"/>
            <w:vAlign w:val="center"/>
          </w:tcPr>
          <w:p w:rsidRPr="00B712C7" w:rsidR="00517965" w:rsidP="00DB4DE2" w:rsidRDefault="00517965" w14:paraId="30E2B149" w14:textId="77777777">
            <w:pPr>
              <w:pStyle w:val="BodyText"/>
              <w:jc w:val="center"/>
              <w:rPr>
                <w:rFonts w:ascii="Arial" w:hAnsi="Arial" w:cs="Arial"/>
                <w:b/>
                <w:i/>
                <w:color w:val="FFFFFF" w:themeColor="background1"/>
                <w:sz w:val="20"/>
                <w:szCs w:val="20"/>
              </w:rPr>
            </w:pPr>
            <w:r w:rsidRPr="00B712C7">
              <w:rPr>
                <w:rFonts w:ascii="Arial" w:hAnsi="Arial" w:cs="Arial"/>
                <w:b/>
                <w:i/>
                <w:color w:val="FFFFFF" w:themeColor="background1"/>
                <w:sz w:val="20"/>
                <w:szCs w:val="20"/>
              </w:rPr>
              <w:t>n</w:t>
            </w:r>
          </w:p>
        </w:tc>
        <w:tc>
          <w:tcPr>
            <w:tcW w:w="1205" w:type="dxa"/>
            <w:tcBorders>
              <w:top w:val="nil"/>
              <w:left w:val="nil"/>
              <w:bottom w:val="single" w:color="auto" w:sz="4" w:space="0"/>
              <w:right w:val="nil"/>
            </w:tcBorders>
            <w:shd w:val="clear" w:color="auto" w:fill="881E76"/>
            <w:vAlign w:val="center"/>
          </w:tcPr>
          <w:p w:rsidRPr="00B712C7" w:rsidR="00517965" w:rsidP="00DB4DE2" w:rsidRDefault="00517965" w14:paraId="03B7F8DE" w14:textId="77777777">
            <w:pPr>
              <w:pStyle w:val="BodyText"/>
              <w:jc w:val="center"/>
              <w:rPr>
                <w:rFonts w:ascii="Arial" w:hAnsi="Arial" w:cs="Arial"/>
                <w:b/>
                <w:color w:val="FFFFFF" w:themeColor="background1"/>
                <w:sz w:val="20"/>
                <w:szCs w:val="20"/>
              </w:rPr>
            </w:pPr>
            <w:r w:rsidRPr="00B712C7">
              <w:rPr>
                <w:rFonts w:ascii="Arial" w:hAnsi="Arial" w:cs="Arial"/>
                <w:b/>
                <w:color w:val="FFFFFF" w:themeColor="background1"/>
                <w:sz w:val="20"/>
                <w:szCs w:val="20"/>
              </w:rPr>
              <w:t>%</w:t>
            </w:r>
          </w:p>
        </w:tc>
        <w:tc>
          <w:tcPr>
            <w:tcW w:w="1205" w:type="dxa"/>
            <w:tcBorders>
              <w:top w:val="nil"/>
              <w:left w:val="nil"/>
              <w:bottom w:val="single" w:color="auto" w:sz="4" w:space="0"/>
              <w:right w:val="nil"/>
            </w:tcBorders>
            <w:shd w:val="clear" w:color="auto" w:fill="881E76"/>
            <w:vAlign w:val="center"/>
          </w:tcPr>
          <w:p w:rsidRPr="00B712C7" w:rsidR="00517965" w:rsidP="00DB4DE2" w:rsidRDefault="00517965" w14:paraId="43D30ABB" w14:textId="77777777">
            <w:pPr>
              <w:pStyle w:val="BodyText"/>
              <w:jc w:val="center"/>
              <w:rPr>
                <w:rFonts w:ascii="Arial" w:hAnsi="Arial" w:cs="Arial"/>
                <w:b/>
                <w:i/>
                <w:color w:val="FFFFFF" w:themeColor="background1"/>
                <w:sz w:val="20"/>
                <w:szCs w:val="20"/>
              </w:rPr>
            </w:pPr>
            <w:r w:rsidRPr="00B712C7">
              <w:rPr>
                <w:rFonts w:ascii="Arial" w:hAnsi="Arial" w:cs="Arial"/>
                <w:b/>
                <w:i/>
                <w:color w:val="FFFFFF" w:themeColor="background1"/>
                <w:sz w:val="20"/>
                <w:szCs w:val="20"/>
              </w:rPr>
              <w:t>n</w:t>
            </w:r>
          </w:p>
        </w:tc>
        <w:tc>
          <w:tcPr>
            <w:tcW w:w="1205" w:type="dxa"/>
            <w:tcBorders>
              <w:top w:val="nil"/>
              <w:left w:val="nil"/>
              <w:bottom w:val="single" w:color="auto" w:sz="4" w:space="0"/>
              <w:right w:val="nil"/>
            </w:tcBorders>
            <w:shd w:val="clear" w:color="auto" w:fill="881E76"/>
            <w:vAlign w:val="center"/>
          </w:tcPr>
          <w:p w:rsidRPr="00B712C7" w:rsidR="00517965" w:rsidP="00DB4DE2" w:rsidRDefault="00517965" w14:paraId="124F769D" w14:textId="77777777">
            <w:pPr>
              <w:pStyle w:val="BodyText"/>
              <w:jc w:val="center"/>
              <w:rPr>
                <w:rFonts w:ascii="Arial" w:hAnsi="Arial" w:cs="Arial"/>
                <w:b/>
                <w:color w:val="FFFFFF" w:themeColor="background1"/>
                <w:sz w:val="20"/>
                <w:szCs w:val="20"/>
              </w:rPr>
            </w:pPr>
            <w:r w:rsidRPr="00B712C7">
              <w:rPr>
                <w:rFonts w:ascii="Arial" w:hAnsi="Arial" w:cs="Arial"/>
                <w:b/>
                <w:color w:val="FFFFFF" w:themeColor="background1"/>
                <w:sz w:val="20"/>
                <w:szCs w:val="20"/>
              </w:rPr>
              <w:t>%</w:t>
            </w:r>
          </w:p>
        </w:tc>
        <w:tc>
          <w:tcPr>
            <w:tcW w:w="1205" w:type="dxa"/>
            <w:tcBorders>
              <w:top w:val="nil"/>
              <w:left w:val="nil"/>
              <w:bottom w:val="single" w:color="auto" w:sz="4" w:space="0"/>
              <w:right w:val="nil"/>
            </w:tcBorders>
            <w:shd w:val="clear" w:color="auto" w:fill="881E76"/>
          </w:tcPr>
          <w:p w:rsidRPr="00B712C7" w:rsidR="00517965" w:rsidP="00DB4DE2" w:rsidRDefault="00517965" w14:paraId="0D860DE0" w14:textId="77777777">
            <w:pPr>
              <w:pStyle w:val="BodyText"/>
              <w:jc w:val="center"/>
              <w:rPr>
                <w:rFonts w:ascii="Arial" w:hAnsi="Arial" w:cs="Arial"/>
                <w:b/>
                <w:i/>
                <w:color w:val="FFFFFF" w:themeColor="background1"/>
                <w:sz w:val="20"/>
                <w:szCs w:val="20"/>
              </w:rPr>
            </w:pPr>
            <w:r w:rsidRPr="00B712C7">
              <w:rPr>
                <w:rFonts w:ascii="Arial" w:hAnsi="Arial" w:cs="Arial"/>
                <w:b/>
                <w:i/>
                <w:color w:val="FFFFFF" w:themeColor="background1"/>
                <w:sz w:val="20"/>
                <w:szCs w:val="20"/>
              </w:rPr>
              <w:t>n</w:t>
            </w:r>
          </w:p>
        </w:tc>
        <w:tc>
          <w:tcPr>
            <w:tcW w:w="1205" w:type="dxa"/>
            <w:tcBorders>
              <w:top w:val="nil"/>
              <w:left w:val="nil"/>
              <w:bottom w:val="single" w:color="auto" w:sz="4" w:space="0"/>
              <w:right w:val="nil"/>
            </w:tcBorders>
            <w:shd w:val="clear" w:color="auto" w:fill="881E76"/>
          </w:tcPr>
          <w:p w:rsidRPr="00B712C7" w:rsidR="00517965" w:rsidP="00DB4DE2" w:rsidRDefault="00517965" w14:paraId="6ACEFDA0" w14:textId="77777777">
            <w:pPr>
              <w:pStyle w:val="BodyText"/>
              <w:jc w:val="center"/>
              <w:rPr>
                <w:rFonts w:ascii="Arial" w:hAnsi="Arial" w:cs="Arial"/>
                <w:b/>
                <w:color w:val="FFFFFF" w:themeColor="background1"/>
                <w:sz w:val="20"/>
                <w:szCs w:val="20"/>
              </w:rPr>
            </w:pPr>
            <w:r w:rsidRPr="00B712C7">
              <w:rPr>
                <w:rFonts w:ascii="Arial" w:hAnsi="Arial" w:cs="Arial"/>
                <w:b/>
                <w:color w:val="FFFFFF" w:themeColor="background1"/>
                <w:sz w:val="20"/>
                <w:szCs w:val="20"/>
              </w:rPr>
              <w:t>%</w:t>
            </w:r>
          </w:p>
        </w:tc>
      </w:tr>
      <w:tr w:rsidRPr="00B712C7" w:rsidR="00517965" w:rsidTr="00BC6762" w14:paraId="5FBE6835" w14:textId="77777777">
        <w:tc>
          <w:tcPr>
            <w:tcW w:w="1985" w:type="dxa"/>
            <w:tcBorders>
              <w:top w:val="single" w:color="auto" w:sz="4" w:space="0"/>
              <w:left w:val="nil"/>
              <w:bottom w:val="single" w:color="auto" w:sz="4" w:space="0"/>
              <w:right w:val="nil"/>
            </w:tcBorders>
          </w:tcPr>
          <w:p w:rsidRPr="00B712C7" w:rsidR="00517965" w:rsidP="00517965" w:rsidRDefault="00517965" w14:paraId="60969170" w14:textId="77777777">
            <w:pPr>
              <w:pStyle w:val="BodyTextSpaceAfter"/>
              <w:spacing w:before="60" w:after="60"/>
              <w:rPr>
                <w:rFonts w:ascii="Arial" w:hAnsi="Arial" w:cs="Arial"/>
                <w:sz w:val="18"/>
                <w:szCs w:val="18"/>
              </w:rPr>
            </w:pPr>
            <w:r w:rsidRPr="00B712C7">
              <w:rPr>
                <w:rFonts w:ascii="Arial" w:hAnsi="Arial" w:cs="Arial"/>
                <w:sz w:val="18"/>
                <w:szCs w:val="18"/>
              </w:rPr>
              <w:t>10 to 14</w:t>
            </w:r>
          </w:p>
          <w:p w:rsidRPr="00B712C7" w:rsidR="00517965" w:rsidP="00517965" w:rsidRDefault="00517965" w14:paraId="0B567020" w14:textId="77777777">
            <w:pPr>
              <w:pStyle w:val="BodyTextSpaceAfter"/>
              <w:spacing w:before="60" w:after="60"/>
              <w:rPr>
                <w:rFonts w:ascii="Arial" w:hAnsi="Arial" w:cs="Arial"/>
                <w:sz w:val="18"/>
                <w:szCs w:val="18"/>
              </w:rPr>
            </w:pPr>
            <w:r w:rsidRPr="00B712C7">
              <w:rPr>
                <w:rFonts w:ascii="Arial" w:hAnsi="Arial" w:cs="Arial"/>
                <w:sz w:val="18"/>
                <w:szCs w:val="18"/>
              </w:rPr>
              <w:t>15 to 19</w:t>
            </w:r>
          </w:p>
          <w:p w:rsidRPr="00B712C7" w:rsidR="00517965" w:rsidP="00517965" w:rsidRDefault="00517965" w14:paraId="0E182776" w14:textId="77777777">
            <w:pPr>
              <w:pStyle w:val="BodyTextSpaceAfter"/>
              <w:spacing w:before="60" w:after="60"/>
              <w:rPr>
                <w:rFonts w:ascii="Arial" w:hAnsi="Arial" w:cs="Arial"/>
                <w:sz w:val="18"/>
                <w:szCs w:val="18"/>
              </w:rPr>
            </w:pPr>
            <w:r w:rsidRPr="00B712C7">
              <w:rPr>
                <w:rFonts w:ascii="Arial" w:hAnsi="Arial" w:cs="Arial"/>
                <w:sz w:val="18"/>
                <w:szCs w:val="18"/>
              </w:rPr>
              <w:t>20 to 24</w:t>
            </w:r>
          </w:p>
          <w:p w:rsidRPr="00B712C7" w:rsidR="00517965" w:rsidP="00517965" w:rsidRDefault="00517965" w14:paraId="4FAE974F" w14:textId="77777777">
            <w:pPr>
              <w:pStyle w:val="BodyTextSpaceAfter"/>
              <w:spacing w:before="60" w:after="60"/>
              <w:rPr>
                <w:rFonts w:ascii="Arial" w:hAnsi="Arial" w:cs="Arial"/>
                <w:sz w:val="18"/>
                <w:szCs w:val="18"/>
              </w:rPr>
            </w:pPr>
            <w:r w:rsidRPr="00B712C7">
              <w:rPr>
                <w:rFonts w:ascii="Arial" w:hAnsi="Arial" w:cs="Arial"/>
                <w:sz w:val="18"/>
                <w:szCs w:val="18"/>
              </w:rPr>
              <w:t>25 to 29</w:t>
            </w:r>
          </w:p>
          <w:p w:rsidRPr="00B712C7" w:rsidR="00517965" w:rsidP="00517965" w:rsidRDefault="00517965" w14:paraId="77EF8970" w14:textId="77777777">
            <w:pPr>
              <w:pStyle w:val="BodyTextSpaceAfter"/>
              <w:spacing w:before="60" w:after="60"/>
              <w:rPr>
                <w:rFonts w:ascii="Arial" w:hAnsi="Arial" w:cs="Arial"/>
                <w:sz w:val="18"/>
                <w:szCs w:val="18"/>
              </w:rPr>
            </w:pPr>
            <w:r w:rsidRPr="00B712C7">
              <w:rPr>
                <w:rFonts w:ascii="Arial" w:hAnsi="Arial" w:cs="Arial"/>
                <w:sz w:val="18"/>
                <w:szCs w:val="18"/>
              </w:rPr>
              <w:t>30 to 34</w:t>
            </w:r>
          </w:p>
          <w:p w:rsidRPr="00B712C7" w:rsidR="00517965" w:rsidP="00517965" w:rsidRDefault="00517965" w14:paraId="3B78826D" w14:textId="77777777">
            <w:pPr>
              <w:pStyle w:val="BodyTextSpaceAfter"/>
              <w:spacing w:before="60" w:after="60"/>
              <w:rPr>
                <w:rFonts w:ascii="Arial" w:hAnsi="Arial" w:cs="Arial"/>
                <w:sz w:val="18"/>
                <w:szCs w:val="18"/>
              </w:rPr>
            </w:pPr>
            <w:r w:rsidRPr="00B712C7">
              <w:rPr>
                <w:rFonts w:ascii="Arial" w:hAnsi="Arial" w:cs="Arial"/>
                <w:sz w:val="18"/>
                <w:szCs w:val="18"/>
              </w:rPr>
              <w:t>35 to 39</w:t>
            </w:r>
          </w:p>
          <w:p w:rsidRPr="00B712C7" w:rsidR="00517965" w:rsidP="00517965" w:rsidRDefault="00517965" w14:paraId="19306970" w14:textId="77777777">
            <w:pPr>
              <w:pStyle w:val="BodyTextSpaceAfter"/>
              <w:spacing w:before="60" w:after="60"/>
              <w:rPr>
                <w:rFonts w:ascii="Arial" w:hAnsi="Arial" w:cs="Arial"/>
                <w:sz w:val="18"/>
                <w:szCs w:val="18"/>
              </w:rPr>
            </w:pPr>
            <w:r w:rsidRPr="00B712C7">
              <w:rPr>
                <w:rFonts w:ascii="Arial" w:hAnsi="Arial" w:cs="Arial"/>
                <w:sz w:val="18"/>
                <w:szCs w:val="18"/>
              </w:rPr>
              <w:t>40 to 44</w:t>
            </w:r>
          </w:p>
          <w:p w:rsidRPr="00B712C7" w:rsidR="00517965" w:rsidP="00517965" w:rsidRDefault="00517965" w14:paraId="7149BF5B" w14:textId="77777777">
            <w:pPr>
              <w:pStyle w:val="BodyTextSpaceAfter"/>
              <w:spacing w:before="60" w:after="60"/>
              <w:rPr>
                <w:rFonts w:ascii="Arial" w:hAnsi="Arial" w:cs="Arial"/>
                <w:sz w:val="18"/>
                <w:szCs w:val="18"/>
              </w:rPr>
            </w:pPr>
            <w:r w:rsidRPr="00B712C7">
              <w:rPr>
                <w:rFonts w:ascii="Arial" w:hAnsi="Arial" w:cs="Arial"/>
                <w:sz w:val="18"/>
                <w:szCs w:val="18"/>
              </w:rPr>
              <w:t>45 to 49</w:t>
            </w:r>
          </w:p>
          <w:p w:rsidRPr="00B712C7" w:rsidR="00517965" w:rsidP="00517965" w:rsidRDefault="00517965" w14:paraId="353F05D0" w14:textId="77777777">
            <w:pPr>
              <w:pStyle w:val="BodyTextSpaceAfter"/>
              <w:spacing w:before="60" w:after="60"/>
              <w:rPr>
                <w:rFonts w:ascii="Arial" w:hAnsi="Arial" w:cs="Arial"/>
                <w:sz w:val="18"/>
                <w:szCs w:val="18"/>
              </w:rPr>
            </w:pPr>
            <w:r w:rsidRPr="00B712C7">
              <w:rPr>
                <w:rFonts w:ascii="Arial" w:hAnsi="Arial" w:cs="Arial"/>
                <w:sz w:val="18"/>
                <w:szCs w:val="18"/>
              </w:rPr>
              <w:t>50 to 54</w:t>
            </w:r>
          </w:p>
          <w:p w:rsidRPr="00B712C7" w:rsidR="00517965" w:rsidP="00517965" w:rsidRDefault="00517965" w14:paraId="4DCECADD" w14:textId="77777777">
            <w:pPr>
              <w:pStyle w:val="BodyTextSpaceAfter"/>
              <w:spacing w:before="60" w:after="60"/>
              <w:rPr>
                <w:rFonts w:ascii="Arial" w:hAnsi="Arial" w:cs="Arial"/>
                <w:sz w:val="18"/>
                <w:szCs w:val="18"/>
              </w:rPr>
            </w:pPr>
            <w:r w:rsidRPr="00B712C7">
              <w:rPr>
                <w:rFonts w:ascii="Arial" w:hAnsi="Arial" w:cs="Arial"/>
                <w:sz w:val="18"/>
                <w:szCs w:val="18"/>
              </w:rPr>
              <w:t>55 to 59</w:t>
            </w:r>
          </w:p>
          <w:p w:rsidRPr="00B712C7" w:rsidR="00517965" w:rsidP="00517965" w:rsidRDefault="00517965" w14:paraId="11495302" w14:textId="77777777">
            <w:pPr>
              <w:pStyle w:val="BodyTextSpaceAfter"/>
              <w:spacing w:before="60" w:after="60"/>
              <w:rPr>
                <w:rFonts w:ascii="Arial" w:hAnsi="Arial" w:cs="Arial"/>
                <w:sz w:val="18"/>
                <w:szCs w:val="18"/>
              </w:rPr>
            </w:pPr>
            <w:r w:rsidRPr="00B712C7">
              <w:rPr>
                <w:rFonts w:ascii="Arial" w:hAnsi="Arial" w:cs="Arial"/>
                <w:sz w:val="18"/>
                <w:szCs w:val="18"/>
              </w:rPr>
              <w:t>60 to 64</w:t>
            </w:r>
          </w:p>
          <w:p w:rsidRPr="00B712C7" w:rsidR="00517965" w:rsidP="00517965" w:rsidRDefault="00517965" w14:paraId="45023B95" w14:textId="77777777">
            <w:pPr>
              <w:pStyle w:val="BodyTextSpaceAfter"/>
              <w:spacing w:before="60" w:after="60"/>
              <w:rPr>
                <w:rFonts w:ascii="Arial" w:hAnsi="Arial" w:cs="Arial"/>
                <w:sz w:val="18"/>
                <w:szCs w:val="18"/>
              </w:rPr>
            </w:pPr>
            <w:r w:rsidRPr="00B712C7">
              <w:rPr>
                <w:rFonts w:ascii="Arial" w:hAnsi="Arial" w:cs="Arial"/>
                <w:sz w:val="18"/>
                <w:szCs w:val="18"/>
              </w:rPr>
              <w:t>65 or older</w:t>
            </w:r>
          </w:p>
        </w:tc>
        <w:tc>
          <w:tcPr>
            <w:tcW w:w="1204" w:type="dxa"/>
            <w:tcBorders>
              <w:top w:val="single" w:color="auto" w:sz="4" w:space="0"/>
              <w:left w:val="nil"/>
              <w:bottom w:val="single" w:color="auto" w:sz="4" w:space="0"/>
              <w:right w:val="nil"/>
            </w:tcBorders>
            <w:shd w:val="clear" w:color="auto" w:fill="E4D2E2"/>
            <w:vAlign w:val="bottom"/>
          </w:tcPr>
          <w:p w:rsidRPr="00B712C7" w:rsidR="00517965" w:rsidP="00517965" w:rsidRDefault="00401F65" w14:paraId="01B4A464"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118</w:t>
            </w:r>
          </w:p>
          <w:p w:rsidRPr="00B712C7" w:rsidR="00401F65" w:rsidP="00517965" w:rsidRDefault="00401F65" w14:paraId="0A133AF7"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1,792</w:t>
            </w:r>
          </w:p>
          <w:p w:rsidRPr="00B712C7" w:rsidR="00401F65" w:rsidP="00517965" w:rsidRDefault="00401F65" w14:paraId="1EC9D6C6"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3,036</w:t>
            </w:r>
          </w:p>
          <w:p w:rsidRPr="00B712C7" w:rsidR="00401F65" w:rsidP="00517965" w:rsidRDefault="00401F65" w14:paraId="40412783"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2,169</w:t>
            </w:r>
          </w:p>
          <w:p w:rsidRPr="00B712C7" w:rsidR="00401F65" w:rsidP="00517965" w:rsidRDefault="00401F65" w14:paraId="1E95A306"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1,616</w:t>
            </w:r>
          </w:p>
          <w:p w:rsidRPr="00B712C7" w:rsidR="00401F65" w:rsidP="00517965" w:rsidRDefault="00401F65" w14:paraId="6D9BD17A"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1,357</w:t>
            </w:r>
          </w:p>
          <w:p w:rsidRPr="00B712C7" w:rsidR="00401F65" w:rsidP="00517965" w:rsidRDefault="00401F65" w14:paraId="0DC02D49"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947</w:t>
            </w:r>
          </w:p>
          <w:p w:rsidRPr="00B712C7" w:rsidR="00401F65" w:rsidP="00517965" w:rsidRDefault="00401F65" w14:paraId="2095F5A8"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577</w:t>
            </w:r>
          </w:p>
          <w:p w:rsidRPr="00B712C7" w:rsidR="00401F65" w:rsidP="00517965" w:rsidRDefault="00401F65" w14:paraId="33FDE0FC"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259</w:t>
            </w:r>
          </w:p>
          <w:p w:rsidRPr="00B712C7" w:rsidR="00401F65" w:rsidP="00517965" w:rsidRDefault="00401F65" w14:paraId="2DACEACE"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104</w:t>
            </w:r>
          </w:p>
          <w:p w:rsidRPr="00B712C7" w:rsidR="00401F65" w:rsidP="00517965" w:rsidRDefault="00401F65" w14:paraId="5DB8B0B5"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41</w:t>
            </w:r>
          </w:p>
          <w:p w:rsidRPr="00B712C7" w:rsidR="00401F65" w:rsidP="00517965" w:rsidRDefault="00401F65" w14:paraId="116001B9"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20</w:t>
            </w:r>
          </w:p>
        </w:tc>
        <w:tc>
          <w:tcPr>
            <w:tcW w:w="1205" w:type="dxa"/>
            <w:tcBorders>
              <w:top w:val="single" w:color="auto" w:sz="4" w:space="0"/>
              <w:left w:val="nil"/>
              <w:bottom w:val="single" w:color="auto" w:sz="4" w:space="0"/>
              <w:right w:val="nil"/>
            </w:tcBorders>
            <w:shd w:val="clear" w:color="auto" w:fill="E4D2E2"/>
            <w:vAlign w:val="bottom"/>
          </w:tcPr>
          <w:p w:rsidRPr="00B712C7" w:rsidR="00517965" w:rsidP="00517965" w:rsidRDefault="00BC6762" w14:paraId="2B2ED440" w14:textId="77777777">
            <w:pPr>
              <w:pStyle w:val="BodyTextSpaceAfter"/>
              <w:spacing w:before="60" w:after="60"/>
              <w:jc w:val="center"/>
              <w:rPr>
                <w:rFonts w:ascii="Arial" w:hAnsi="Arial" w:cs="Arial"/>
                <w:sz w:val="18"/>
                <w:szCs w:val="18"/>
              </w:rPr>
            </w:pPr>
            <w:r w:rsidRPr="00B712C7">
              <w:rPr>
                <w:rFonts w:ascii="Arial" w:hAnsi="Arial" w:cs="Arial"/>
                <w:sz w:val="18"/>
                <w:szCs w:val="18"/>
              </w:rPr>
              <w:t>1.0</w:t>
            </w:r>
          </w:p>
          <w:p w:rsidRPr="00B712C7" w:rsidR="00BC6762" w:rsidP="00517965" w:rsidRDefault="00BC6762" w14:paraId="3E915E03" w14:textId="77777777">
            <w:pPr>
              <w:pStyle w:val="BodyTextSpaceAfter"/>
              <w:spacing w:before="60" w:after="60"/>
              <w:jc w:val="center"/>
              <w:rPr>
                <w:rFonts w:ascii="Arial" w:hAnsi="Arial" w:cs="Arial"/>
                <w:sz w:val="18"/>
                <w:szCs w:val="18"/>
              </w:rPr>
            </w:pPr>
            <w:r w:rsidRPr="00B712C7">
              <w:rPr>
                <w:rFonts w:ascii="Arial" w:hAnsi="Arial" w:cs="Arial"/>
                <w:sz w:val="18"/>
                <w:szCs w:val="18"/>
              </w:rPr>
              <w:t>14.9</w:t>
            </w:r>
          </w:p>
          <w:p w:rsidRPr="00B712C7" w:rsidR="00BC6762" w:rsidP="00517965" w:rsidRDefault="00BC6762" w14:paraId="69D06CDC" w14:textId="77777777">
            <w:pPr>
              <w:pStyle w:val="BodyTextSpaceAfter"/>
              <w:spacing w:before="60" w:after="60"/>
              <w:jc w:val="center"/>
              <w:rPr>
                <w:rFonts w:ascii="Arial" w:hAnsi="Arial" w:cs="Arial"/>
                <w:sz w:val="18"/>
                <w:szCs w:val="18"/>
              </w:rPr>
            </w:pPr>
            <w:r w:rsidRPr="00B712C7">
              <w:rPr>
                <w:rFonts w:ascii="Arial" w:hAnsi="Arial" w:cs="Arial"/>
                <w:sz w:val="18"/>
                <w:szCs w:val="18"/>
              </w:rPr>
              <w:t>25.2</w:t>
            </w:r>
          </w:p>
          <w:p w:rsidRPr="00B712C7" w:rsidR="00BC6762" w:rsidP="00517965" w:rsidRDefault="00BC6762" w14:paraId="7BED109B" w14:textId="77777777">
            <w:pPr>
              <w:pStyle w:val="BodyTextSpaceAfter"/>
              <w:spacing w:before="60" w:after="60"/>
              <w:jc w:val="center"/>
              <w:rPr>
                <w:rFonts w:ascii="Arial" w:hAnsi="Arial" w:cs="Arial"/>
                <w:sz w:val="18"/>
                <w:szCs w:val="18"/>
              </w:rPr>
            </w:pPr>
            <w:r w:rsidRPr="00B712C7">
              <w:rPr>
                <w:rFonts w:ascii="Arial" w:hAnsi="Arial" w:cs="Arial"/>
                <w:sz w:val="18"/>
                <w:szCs w:val="18"/>
              </w:rPr>
              <w:t>18.0</w:t>
            </w:r>
          </w:p>
          <w:p w:rsidRPr="00B712C7" w:rsidR="00BC6762" w:rsidP="00517965" w:rsidRDefault="00BC6762" w14:paraId="50A2FE99" w14:textId="77777777">
            <w:pPr>
              <w:pStyle w:val="BodyTextSpaceAfter"/>
              <w:spacing w:before="60" w:after="60"/>
              <w:jc w:val="center"/>
              <w:rPr>
                <w:rFonts w:ascii="Arial" w:hAnsi="Arial" w:cs="Arial"/>
                <w:sz w:val="18"/>
                <w:szCs w:val="18"/>
              </w:rPr>
            </w:pPr>
            <w:r w:rsidRPr="00B712C7">
              <w:rPr>
                <w:rFonts w:ascii="Arial" w:hAnsi="Arial" w:cs="Arial"/>
                <w:sz w:val="18"/>
                <w:szCs w:val="18"/>
              </w:rPr>
              <w:t>13.4</w:t>
            </w:r>
          </w:p>
          <w:p w:rsidRPr="00B712C7" w:rsidR="00BC6762" w:rsidP="00517965" w:rsidRDefault="00BC6762" w14:paraId="180E09D4" w14:textId="77777777">
            <w:pPr>
              <w:pStyle w:val="BodyTextSpaceAfter"/>
              <w:spacing w:before="60" w:after="60"/>
              <w:jc w:val="center"/>
              <w:rPr>
                <w:rFonts w:ascii="Arial" w:hAnsi="Arial" w:cs="Arial"/>
                <w:sz w:val="18"/>
                <w:szCs w:val="18"/>
              </w:rPr>
            </w:pPr>
            <w:r w:rsidRPr="00B712C7">
              <w:rPr>
                <w:rFonts w:ascii="Arial" w:hAnsi="Arial" w:cs="Arial"/>
                <w:sz w:val="18"/>
                <w:szCs w:val="18"/>
              </w:rPr>
              <w:t>11.3</w:t>
            </w:r>
          </w:p>
          <w:p w:rsidRPr="00B712C7" w:rsidR="00BC6762" w:rsidP="00517965" w:rsidRDefault="00BC6762" w14:paraId="6D9BC01D" w14:textId="77777777">
            <w:pPr>
              <w:pStyle w:val="BodyTextSpaceAfter"/>
              <w:spacing w:before="60" w:after="60"/>
              <w:jc w:val="center"/>
              <w:rPr>
                <w:rFonts w:ascii="Arial" w:hAnsi="Arial" w:cs="Arial"/>
                <w:sz w:val="18"/>
                <w:szCs w:val="18"/>
              </w:rPr>
            </w:pPr>
            <w:r w:rsidRPr="00B712C7">
              <w:rPr>
                <w:rFonts w:ascii="Arial" w:hAnsi="Arial" w:cs="Arial"/>
                <w:sz w:val="18"/>
                <w:szCs w:val="18"/>
              </w:rPr>
              <w:t>7.9</w:t>
            </w:r>
          </w:p>
          <w:p w:rsidRPr="00B712C7" w:rsidR="00BC6762" w:rsidP="00517965" w:rsidRDefault="00BC6762" w14:paraId="0B25F7EC" w14:textId="77777777">
            <w:pPr>
              <w:pStyle w:val="BodyTextSpaceAfter"/>
              <w:spacing w:before="60" w:after="60"/>
              <w:jc w:val="center"/>
              <w:rPr>
                <w:rFonts w:ascii="Arial" w:hAnsi="Arial" w:cs="Arial"/>
                <w:sz w:val="18"/>
                <w:szCs w:val="18"/>
              </w:rPr>
            </w:pPr>
            <w:r w:rsidRPr="00B712C7">
              <w:rPr>
                <w:rFonts w:ascii="Arial" w:hAnsi="Arial" w:cs="Arial"/>
                <w:sz w:val="18"/>
                <w:szCs w:val="18"/>
              </w:rPr>
              <w:t>4.8</w:t>
            </w:r>
          </w:p>
          <w:p w:rsidRPr="00B712C7" w:rsidR="00BC6762" w:rsidP="00517965" w:rsidRDefault="00BC6762" w14:paraId="4AA4D50D" w14:textId="77777777">
            <w:pPr>
              <w:pStyle w:val="BodyTextSpaceAfter"/>
              <w:spacing w:before="60" w:after="60"/>
              <w:jc w:val="center"/>
              <w:rPr>
                <w:rFonts w:ascii="Arial" w:hAnsi="Arial" w:cs="Arial"/>
                <w:sz w:val="18"/>
                <w:szCs w:val="18"/>
              </w:rPr>
            </w:pPr>
            <w:r w:rsidRPr="00B712C7">
              <w:rPr>
                <w:rFonts w:ascii="Arial" w:hAnsi="Arial" w:cs="Arial"/>
                <w:sz w:val="18"/>
                <w:szCs w:val="18"/>
              </w:rPr>
              <w:t>2.2</w:t>
            </w:r>
          </w:p>
          <w:p w:rsidRPr="00B712C7" w:rsidR="00BC6762" w:rsidP="00517965" w:rsidRDefault="00BC6762" w14:paraId="308E3608" w14:textId="77777777">
            <w:pPr>
              <w:pStyle w:val="BodyTextSpaceAfter"/>
              <w:spacing w:before="60" w:after="60"/>
              <w:jc w:val="center"/>
              <w:rPr>
                <w:rFonts w:ascii="Arial" w:hAnsi="Arial" w:cs="Arial"/>
                <w:sz w:val="18"/>
                <w:szCs w:val="18"/>
              </w:rPr>
            </w:pPr>
            <w:r w:rsidRPr="00B712C7">
              <w:rPr>
                <w:rFonts w:ascii="Arial" w:hAnsi="Arial" w:cs="Arial"/>
                <w:sz w:val="18"/>
                <w:szCs w:val="18"/>
              </w:rPr>
              <w:t>0.9</w:t>
            </w:r>
          </w:p>
          <w:p w:rsidRPr="00B712C7" w:rsidR="00BC6762" w:rsidP="00517965" w:rsidRDefault="00BC6762" w14:paraId="5ABB905F" w14:textId="77777777">
            <w:pPr>
              <w:pStyle w:val="BodyTextSpaceAfter"/>
              <w:spacing w:before="60" w:after="60"/>
              <w:jc w:val="center"/>
              <w:rPr>
                <w:rFonts w:ascii="Arial" w:hAnsi="Arial" w:cs="Arial"/>
                <w:sz w:val="18"/>
                <w:szCs w:val="18"/>
              </w:rPr>
            </w:pPr>
            <w:r w:rsidRPr="00B712C7">
              <w:rPr>
                <w:rFonts w:ascii="Arial" w:hAnsi="Arial" w:cs="Arial"/>
                <w:sz w:val="18"/>
                <w:szCs w:val="18"/>
              </w:rPr>
              <w:t>0.3</w:t>
            </w:r>
          </w:p>
          <w:p w:rsidRPr="00B712C7" w:rsidR="00BC6762" w:rsidP="00517965" w:rsidRDefault="00BC6762" w14:paraId="689E6094" w14:textId="77777777">
            <w:pPr>
              <w:pStyle w:val="BodyTextSpaceAfter"/>
              <w:spacing w:before="60" w:after="60"/>
              <w:jc w:val="center"/>
              <w:rPr>
                <w:rFonts w:ascii="Arial" w:hAnsi="Arial" w:cs="Arial"/>
                <w:sz w:val="18"/>
                <w:szCs w:val="18"/>
              </w:rPr>
            </w:pPr>
            <w:r w:rsidRPr="00B712C7">
              <w:rPr>
                <w:rFonts w:ascii="Arial" w:hAnsi="Arial" w:cs="Arial"/>
                <w:sz w:val="18"/>
                <w:szCs w:val="18"/>
              </w:rPr>
              <w:t>0.2</w:t>
            </w:r>
          </w:p>
        </w:tc>
        <w:tc>
          <w:tcPr>
            <w:tcW w:w="1205" w:type="dxa"/>
            <w:tcBorders>
              <w:top w:val="single" w:color="auto" w:sz="4" w:space="0"/>
              <w:left w:val="nil"/>
              <w:bottom w:val="single" w:color="auto" w:sz="4" w:space="0"/>
              <w:right w:val="nil"/>
            </w:tcBorders>
            <w:vAlign w:val="bottom"/>
          </w:tcPr>
          <w:p w:rsidRPr="00B712C7" w:rsidR="00517965" w:rsidP="00517965" w:rsidRDefault="00401F65" w14:paraId="1EEC0654"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400</w:t>
            </w:r>
          </w:p>
          <w:p w:rsidRPr="00B712C7" w:rsidR="00401F65" w:rsidP="00517965" w:rsidRDefault="00401F65" w14:paraId="5FBB81F5"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9,149</w:t>
            </w:r>
          </w:p>
          <w:p w:rsidRPr="00B712C7" w:rsidR="00401F65" w:rsidP="00517965" w:rsidRDefault="00401F65" w14:paraId="37756BBF"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15,037</w:t>
            </w:r>
          </w:p>
          <w:p w:rsidRPr="00B712C7" w:rsidR="00401F65" w:rsidP="00517965" w:rsidRDefault="00401F65" w14:paraId="2EB34CC3"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9,394</w:t>
            </w:r>
          </w:p>
          <w:p w:rsidRPr="00B712C7" w:rsidR="00401F65" w:rsidP="00517965" w:rsidRDefault="00401F65" w14:paraId="2F94AE88"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6,940</w:t>
            </w:r>
          </w:p>
          <w:p w:rsidRPr="00B712C7" w:rsidR="00401F65" w:rsidP="00517965" w:rsidRDefault="00401F65" w14:paraId="75F85B23"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5,148</w:t>
            </w:r>
          </w:p>
          <w:p w:rsidRPr="00B712C7" w:rsidR="00401F65" w:rsidP="00517965" w:rsidRDefault="00401F65" w14:paraId="53CD55B5"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3,616</w:t>
            </w:r>
          </w:p>
          <w:p w:rsidRPr="00B712C7" w:rsidR="00401F65" w:rsidP="00517965" w:rsidRDefault="00401F65" w14:paraId="075DF4AC"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2,073</w:t>
            </w:r>
          </w:p>
          <w:p w:rsidRPr="00B712C7" w:rsidR="00401F65" w:rsidP="00517965" w:rsidRDefault="00401F65" w14:paraId="3A801DE3"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1,079</w:t>
            </w:r>
          </w:p>
          <w:p w:rsidRPr="00B712C7" w:rsidR="00401F65" w:rsidP="00517965" w:rsidRDefault="00401F65" w14:paraId="6007582B"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464</w:t>
            </w:r>
          </w:p>
          <w:p w:rsidRPr="00B712C7" w:rsidR="00401F65" w:rsidP="00401F65" w:rsidRDefault="00401F65" w14:paraId="14CE4722"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178</w:t>
            </w:r>
          </w:p>
          <w:p w:rsidRPr="00B712C7" w:rsidR="00401F65" w:rsidP="00517965" w:rsidRDefault="00BC6762" w14:paraId="488BB134"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84</w:t>
            </w:r>
          </w:p>
        </w:tc>
        <w:tc>
          <w:tcPr>
            <w:tcW w:w="1205" w:type="dxa"/>
            <w:tcBorders>
              <w:top w:val="single" w:color="auto" w:sz="4" w:space="0"/>
              <w:left w:val="nil"/>
              <w:bottom w:val="single" w:color="auto" w:sz="4" w:space="0"/>
              <w:right w:val="nil"/>
            </w:tcBorders>
            <w:vAlign w:val="bottom"/>
          </w:tcPr>
          <w:p w:rsidRPr="00B712C7" w:rsidR="00517965" w:rsidP="00517965" w:rsidRDefault="00BC6762" w14:paraId="3219E72A" w14:textId="77777777">
            <w:pPr>
              <w:pStyle w:val="BodyTextSpaceAfter"/>
              <w:spacing w:before="60" w:after="60"/>
              <w:jc w:val="center"/>
              <w:rPr>
                <w:rFonts w:ascii="Arial" w:hAnsi="Arial" w:cs="Arial"/>
                <w:sz w:val="18"/>
                <w:szCs w:val="18"/>
              </w:rPr>
            </w:pPr>
            <w:r w:rsidRPr="00B712C7">
              <w:rPr>
                <w:rFonts w:ascii="Arial" w:hAnsi="Arial" w:cs="Arial"/>
                <w:sz w:val="18"/>
                <w:szCs w:val="18"/>
              </w:rPr>
              <w:t>0.8</w:t>
            </w:r>
          </w:p>
          <w:p w:rsidRPr="00B712C7" w:rsidR="00BC6762" w:rsidP="00517965" w:rsidRDefault="00BC6762" w14:paraId="26C616D8" w14:textId="77777777">
            <w:pPr>
              <w:pStyle w:val="BodyTextSpaceAfter"/>
              <w:spacing w:before="60" w:after="60"/>
              <w:jc w:val="center"/>
              <w:rPr>
                <w:rFonts w:ascii="Arial" w:hAnsi="Arial" w:cs="Arial"/>
                <w:sz w:val="18"/>
                <w:szCs w:val="18"/>
              </w:rPr>
            </w:pPr>
            <w:r w:rsidRPr="00B712C7">
              <w:rPr>
                <w:rFonts w:ascii="Arial" w:hAnsi="Arial" w:cs="Arial"/>
                <w:sz w:val="18"/>
                <w:szCs w:val="18"/>
              </w:rPr>
              <w:t>17.1</w:t>
            </w:r>
          </w:p>
          <w:p w:rsidRPr="00B712C7" w:rsidR="00BC6762" w:rsidP="00517965" w:rsidRDefault="00BC6762" w14:paraId="1867151E" w14:textId="77777777">
            <w:pPr>
              <w:pStyle w:val="BodyTextSpaceAfter"/>
              <w:spacing w:before="60" w:after="60"/>
              <w:jc w:val="center"/>
              <w:rPr>
                <w:rFonts w:ascii="Arial" w:hAnsi="Arial" w:cs="Arial"/>
                <w:sz w:val="18"/>
                <w:szCs w:val="18"/>
              </w:rPr>
            </w:pPr>
            <w:r w:rsidRPr="00B712C7">
              <w:rPr>
                <w:rFonts w:ascii="Arial" w:hAnsi="Arial" w:cs="Arial"/>
                <w:sz w:val="18"/>
                <w:szCs w:val="18"/>
              </w:rPr>
              <w:t>28.1</w:t>
            </w:r>
          </w:p>
          <w:p w:rsidRPr="00B712C7" w:rsidR="00BC6762" w:rsidP="00517965" w:rsidRDefault="00BC6762" w14:paraId="45A1DFAA" w14:textId="77777777">
            <w:pPr>
              <w:pStyle w:val="BodyTextSpaceAfter"/>
              <w:spacing w:before="60" w:after="60"/>
              <w:jc w:val="center"/>
              <w:rPr>
                <w:rFonts w:ascii="Arial" w:hAnsi="Arial" w:cs="Arial"/>
                <w:sz w:val="18"/>
                <w:szCs w:val="18"/>
              </w:rPr>
            </w:pPr>
            <w:r w:rsidRPr="00B712C7">
              <w:rPr>
                <w:rFonts w:ascii="Arial" w:hAnsi="Arial" w:cs="Arial"/>
                <w:sz w:val="18"/>
                <w:szCs w:val="18"/>
              </w:rPr>
              <w:t>17.5</w:t>
            </w:r>
          </w:p>
          <w:p w:rsidRPr="00B712C7" w:rsidR="00BC6762" w:rsidP="00517965" w:rsidRDefault="00BC6762" w14:paraId="6E0E4656" w14:textId="77777777">
            <w:pPr>
              <w:pStyle w:val="BodyTextSpaceAfter"/>
              <w:spacing w:before="60" w:after="60"/>
              <w:jc w:val="center"/>
              <w:rPr>
                <w:rFonts w:ascii="Arial" w:hAnsi="Arial" w:cs="Arial"/>
                <w:sz w:val="18"/>
                <w:szCs w:val="18"/>
              </w:rPr>
            </w:pPr>
            <w:r w:rsidRPr="00B712C7">
              <w:rPr>
                <w:rFonts w:ascii="Arial" w:hAnsi="Arial" w:cs="Arial"/>
                <w:sz w:val="18"/>
                <w:szCs w:val="18"/>
              </w:rPr>
              <w:t>13.0</w:t>
            </w:r>
          </w:p>
          <w:p w:rsidRPr="00B712C7" w:rsidR="00BC6762" w:rsidP="00517965" w:rsidRDefault="00BC6762" w14:paraId="34AD3952" w14:textId="77777777">
            <w:pPr>
              <w:pStyle w:val="BodyTextSpaceAfter"/>
              <w:spacing w:before="60" w:after="60"/>
              <w:jc w:val="center"/>
              <w:rPr>
                <w:rFonts w:ascii="Arial" w:hAnsi="Arial" w:cs="Arial"/>
                <w:sz w:val="18"/>
                <w:szCs w:val="18"/>
              </w:rPr>
            </w:pPr>
            <w:r w:rsidRPr="00B712C7">
              <w:rPr>
                <w:rFonts w:ascii="Arial" w:hAnsi="Arial" w:cs="Arial"/>
                <w:sz w:val="18"/>
                <w:szCs w:val="18"/>
              </w:rPr>
              <w:t>9.6</w:t>
            </w:r>
          </w:p>
          <w:p w:rsidRPr="00B712C7" w:rsidR="00BC6762" w:rsidP="00517965" w:rsidRDefault="00BC6762" w14:paraId="747CBDCD" w14:textId="77777777">
            <w:pPr>
              <w:pStyle w:val="BodyTextSpaceAfter"/>
              <w:spacing w:before="60" w:after="60"/>
              <w:jc w:val="center"/>
              <w:rPr>
                <w:rFonts w:ascii="Arial" w:hAnsi="Arial" w:cs="Arial"/>
                <w:sz w:val="18"/>
                <w:szCs w:val="18"/>
              </w:rPr>
            </w:pPr>
            <w:r w:rsidRPr="00B712C7">
              <w:rPr>
                <w:rFonts w:ascii="Arial" w:hAnsi="Arial" w:cs="Arial"/>
                <w:sz w:val="18"/>
                <w:szCs w:val="18"/>
              </w:rPr>
              <w:t>6.8</w:t>
            </w:r>
          </w:p>
          <w:p w:rsidRPr="00B712C7" w:rsidR="00BC6762" w:rsidP="00517965" w:rsidRDefault="00BC6762" w14:paraId="708A5875" w14:textId="77777777">
            <w:pPr>
              <w:pStyle w:val="BodyTextSpaceAfter"/>
              <w:spacing w:before="60" w:after="60"/>
              <w:jc w:val="center"/>
              <w:rPr>
                <w:rFonts w:ascii="Arial" w:hAnsi="Arial" w:cs="Arial"/>
                <w:sz w:val="18"/>
                <w:szCs w:val="18"/>
              </w:rPr>
            </w:pPr>
            <w:r w:rsidRPr="00B712C7">
              <w:rPr>
                <w:rFonts w:ascii="Arial" w:hAnsi="Arial" w:cs="Arial"/>
                <w:sz w:val="18"/>
                <w:szCs w:val="18"/>
              </w:rPr>
              <w:t>3.9</w:t>
            </w:r>
          </w:p>
          <w:p w:rsidRPr="00B712C7" w:rsidR="00BC6762" w:rsidP="00517965" w:rsidRDefault="00BC6762" w14:paraId="06706B6E" w14:textId="77777777">
            <w:pPr>
              <w:pStyle w:val="BodyTextSpaceAfter"/>
              <w:spacing w:before="60" w:after="60"/>
              <w:jc w:val="center"/>
              <w:rPr>
                <w:rFonts w:ascii="Arial" w:hAnsi="Arial" w:cs="Arial"/>
                <w:sz w:val="18"/>
                <w:szCs w:val="18"/>
              </w:rPr>
            </w:pPr>
            <w:r w:rsidRPr="00B712C7">
              <w:rPr>
                <w:rFonts w:ascii="Arial" w:hAnsi="Arial" w:cs="Arial"/>
                <w:sz w:val="18"/>
                <w:szCs w:val="18"/>
              </w:rPr>
              <w:t>2.0</w:t>
            </w:r>
          </w:p>
          <w:p w:rsidRPr="00B712C7" w:rsidR="00BC6762" w:rsidP="00517965" w:rsidRDefault="00BC6762" w14:paraId="21D6163B" w14:textId="77777777">
            <w:pPr>
              <w:pStyle w:val="BodyTextSpaceAfter"/>
              <w:spacing w:before="60" w:after="60"/>
              <w:jc w:val="center"/>
              <w:rPr>
                <w:rFonts w:ascii="Arial" w:hAnsi="Arial" w:cs="Arial"/>
                <w:sz w:val="18"/>
                <w:szCs w:val="18"/>
              </w:rPr>
            </w:pPr>
            <w:r w:rsidRPr="00B712C7">
              <w:rPr>
                <w:rFonts w:ascii="Arial" w:hAnsi="Arial" w:cs="Arial"/>
                <w:sz w:val="18"/>
                <w:szCs w:val="18"/>
              </w:rPr>
              <w:t>0.9</w:t>
            </w:r>
          </w:p>
          <w:p w:rsidRPr="00B712C7" w:rsidR="00BC6762" w:rsidP="00517965" w:rsidRDefault="00BC6762" w14:paraId="2D1FA2E9" w14:textId="77777777">
            <w:pPr>
              <w:pStyle w:val="BodyTextSpaceAfter"/>
              <w:spacing w:before="60" w:after="60"/>
              <w:jc w:val="center"/>
              <w:rPr>
                <w:rFonts w:ascii="Arial" w:hAnsi="Arial" w:cs="Arial"/>
                <w:sz w:val="18"/>
                <w:szCs w:val="18"/>
              </w:rPr>
            </w:pPr>
            <w:r w:rsidRPr="00B712C7">
              <w:rPr>
                <w:rFonts w:ascii="Arial" w:hAnsi="Arial" w:cs="Arial"/>
                <w:sz w:val="18"/>
                <w:szCs w:val="18"/>
              </w:rPr>
              <w:t>0.3</w:t>
            </w:r>
          </w:p>
          <w:p w:rsidRPr="00B712C7" w:rsidR="00BC6762" w:rsidP="00517965" w:rsidRDefault="00BC6762" w14:paraId="31B99771" w14:textId="77777777">
            <w:pPr>
              <w:pStyle w:val="BodyTextSpaceAfter"/>
              <w:spacing w:before="60" w:after="60"/>
              <w:jc w:val="center"/>
              <w:rPr>
                <w:rFonts w:ascii="Arial" w:hAnsi="Arial" w:cs="Arial"/>
                <w:sz w:val="18"/>
                <w:szCs w:val="18"/>
              </w:rPr>
            </w:pPr>
            <w:r w:rsidRPr="00B712C7">
              <w:rPr>
                <w:rFonts w:ascii="Arial" w:hAnsi="Arial" w:cs="Arial"/>
                <w:sz w:val="18"/>
                <w:szCs w:val="18"/>
              </w:rPr>
              <w:t>0.2</w:t>
            </w:r>
          </w:p>
        </w:tc>
        <w:tc>
          <w:tcPr>
            <w:tcW w:w="1205" w:type="dxa"/>
            <w:tcBorders>
              <w:top w:val="single" w:color="auto" w:sz="4" w:space="0"/>
              <w:left w:val="nil"/>
              <w:bottom w:val="single" w:color="auto" w:sz="4" w:space="0"/>
              <w:right w:val="nil"/>
            </w:tcBorders>
            <w:shd w:val="clear" w:color="auto" w:fill="E4D2E2"/>
            <w:vAlign w:val="bottom"/>
          </w:tcPr>
          <w:p w:rsidRPr="00B712C7" w:rsidR="00BC6762" w:rsidP="00BC6762" w:rsidRDefault="00BC6762" w14:paraId="37F398E0" w14:textId="77777777">
            <w:pPr>
              <w:pStyle w:val="BodyTextSpaceAfter"/>
              <w:spacing w:before="60" w:after="60"/>
              <w:jc w:val="center"/>
              <w:rPr>
                <w:rFonts w:ascii="Arial" w:hAnsi="Arial" w:cs="Arial"/>
                <w:sz w:val="18"/>
                <w:szCs w:val="18"/>
              </w:rPr>
            </w:pPr>
            <w:r w:rsidRPr="00B712C7">
              <w:rPr>
                <w:rFonts w:ascii="Arial" w:hAnsi="Arial" w:cs="Arial"/>
                <w:sz w:val="18"/>
                <w:szCs w:val="18"/>
              </w:rPr>
              <w:t>518</w:t>
            </w:r>
          </w:p>
          <w:p w:rsidRPr="00B712C7" w:rsidR="00BC6762" w:rsidP="00BC6762" w:rsidRDefault="00BC6762" w14:paraId="173CA684" w14:textId="77777777">
            <w:pPr>
              <w:pStyle w:val="BodyTextSpaceAfter"/>
              <w:spacing w:before="60" w:after="60"/>
              <w:jc w:val="center"/>
              <w:rPr>
                <w:rFonts w:ascii="Arial" w:hAnsi="Arial" w:cs="Arial"/>
                <w:sz w:val="18"/>
                <w:szCs w:val="18"/>
              </w:rPr>
            </w:pPr>
            <w:r w:rsidRPr="00B712C7">
              <w:rPr>
                <w:rFonts w:ascii="Arial" w:hAnsi="Arial" w:cs="Arial"/>
                <w:sz w:val="18"/>
                <w:szCs w:val="18"/>
              </w:rPr>
              <w:t>10,941</w:t>
            </w:r>
          </w:p>
          <w:p w:rsidRPr="00B712C7" w:rsidR="00BC6762" w:rsidP="00BC6762" w:rsidRDefault="00BC6762" w14:paraId="0CCCC0F7" w14:textId="77777777">
            <w:pPr>
              <w:pStyle w:val="BodyTextSpaceAfter"/>
              <w:spacing w:before="60" w:after="60"/>
              <w:jc w:val="center"/>
              <w:rPr>
                <w:rFonts w:ascii="Arial" w:hAnsi="Arial" w:cs="Arial"/>
                <w:sz w:val="18"/>
                <w:szCs w:val="18"/>
              </w:rPr>
            </w:pPr>
            <w:r w:rsidRPr="00B712C7">
              <w:rPr>
                <w:rFonts w:ascii="Arial" w:hAnsi="Arial" w:cs="Arial"/>
                <w:sz w:val="18"/>
                <w:szCs w:val="18"/>
              </w:rPr>
              <w:t>18,073</w:t>
            </w:r>
          </w:p>
          <w:p w:rsidRPr="00B712C7" w:rsidR="00BC6762" w:rsidP="00BC6762" w:rsidRDefault="00BC6762" w14:paraId="26138140" w14:textId="77777777">
            <w:pPr>
              <w:pStyle w:val="BodyTextSpaceAfter"/>
              <w:spacing w:before="60" w:after="60"/>
              <w:jc w:val="center"/>
              <w:rPr>
                <w:rFonts w:ascii="Arial" w:hAnsi="Arial" w:cs="Arial"/>
                <w:sz w:val="18"/>
                <w:szCs w:val="18"/>
              </w:rPr>
            </w:pPr>
            <w:r w:rsidRPr="00B712C7">
              <w:rPr>
                <w:rFonts w:ascii="Arial" w:hAnsi="Arial" w:cs="Arial"/>
                <w:sz w:val="18"/>
                <w:szCs w:val="18"/>
              </w:rPr>
              <w:t>11,563</w:t>
            </w:r>
          </w:p>
          <w:p w:rsidRPr="00B712C7" w:rsidR="00BC6762" w:rsidP="00BC6762" w:rsidRDefault="00BC6762" w14:paraId="55522C98" w14:textId="77777777">
            <w:pPr>
              <w:pStyle w:val="BodyTextSpaceAfter"/>
              <w:spacing w:before="60" w:after="60"/>
              <w:jc w:val="center"/>
              <w:rPr>
                <w:rFonts w:ascii="Arial" w:hAnsi="Arial" w:cs="Arial"/>
                <w:sz w:val="18"/>
                <w:szCs w:val="18"/>
              </w:rPr>
            </w:pPr>
            <w:r w:rsidRPr="00B712C7">
              <w:rPr>
                <w:rFonts w:ascii="Arial" w:hAnsi="Arial" w:cs="Arial"/>
                <w:sz w:val="18"/>
                <w:szCs w:val="18"/>
              </w:rPr>
              <w:t>8,556</w:t>
            </w:r>
          </w:p>
          <w:p w:rsidRPr="00B712C7" w:rsidR="00BC6762" w:rsidP="00BC6762" w:rsidRDefault="00BC6762" w14:paraId="4C85B3D6" w14:textId="77777777">
            <w:pPr>
              <w:pStyle w:val="BodyTextSpaceAfter"/>
              <w:spacing w:before="60" w:after="60"/>
              <w:jc w:val="center"/>
              <w:rPr>
                <w:rFonts w:ascii="Arial" w:hAnsi="Arial" w:cs="Arial"/>
                <w:sz w:val="18"/>
                <w:szCs w:val="18"/>
              </w:rPr>
            </w:pPr>
            <w:r w:rsidRPr="00B712C7">
              <w:rPr>
                <w:rFonts w:ascii="Arial" w:hAnsi="Arial" w:cs="Arial"/>
                <w:sz w:val="18"/>
                <w:szCs w:val="18"/>
              </w:rPr>
              <w:t>6,505</w:t>
            </w:r>
          </w:p>
          <w:p w:rsidRPr="00B712C7" w:rsidR="00BC6762" w:rsidP="00BC6762" w:rsidRDefault="00BC6762" w14:paraId="4050F2CE" w14:textId="77777777">
            <w:pPr>
              <w:pStyle w:val="BodyTextSpaceAfter"/>
              <w:spacing w:before="60" w:after="60"/>
              <w:jc w:val="center"/>
              <w:rPr>
                <w:rFonts w:ascii="Arial" w:hAnsi="Arial" w:cs="Arial"/>
                <w:sz w:val="18"/>
                <w:szCs w:val="18"/>
              </w:rPr>
            </w:pPr>
            <w:r w:rsidRPr="00B712C7">
              <w:rPr>
                <w:rFonts w:ascii="Arial" w:hAnsi="Arial" w:cs="Arial"/>
                <w:sz w:val="18"/>
                <w:szCs w:val="18"/>
              </w:rPr>
              <w:t>4,563</w:t>
            </w:r>
          </w:p>
          <w:p w:rsidRPr="00B712C7" w:rsidR="00BC6762" w:rsidP="00BC6762" w:rsidRDefault="00BC6762" w14:paraId="7C7FAF69" w14:textId="77777777">
            <w:pPr>
              <w:pStyle w:val="BodyTextSpaceAfter"/>
              <w:spacing w:before="60" w:after="60"/>
              <w:jc w:val="center"/>
              <w:rPr>
                <w:rFonts w:ascii="Arial" w:hAnsi="Arial" w:cs="Arial"/>
                <w:sz w:val="18"/>
                <w:szCs w:val="18"/>
              </w:rPr>
            </w:pPr>
            <w:r w:rsidRPr="00B712C7">
              <w:rPr>
                <w:rFonts w:ascii="Arial" w:hAnsi="Arial" w:cs="Arial"/>
                <w:sz w:val="18"/>
                <w:szCs w:val="18"/>
              </w:rPr>
              <w:t>2,650</w:t>
            </w:r>
          </w:p>
          <w:p w:rsidRPr="00B712C7" w:rsidR="00BC6762" w:rsidP="00BC6762" w:rsidRDefault="00BC6762" w14:paraId="49794289" w14:textId="77777777">
            <w:pPr>
              <w:pStyle w:val="BodyTextSpaceAfter"/>
              <w:spacing w:before="60" w:after="60"/>
              <w:jc w:val="center"/>
              <w:rPr>
                <w:rFonts w:ascii="Arial" w:hAnsi="Arial" w:cs="Arial"/>
                <w:sz w:val="18"/>
                <w:szCs w:val="18"/>
              </w:rPr>
            </w:pPr>
            <w:r w:rsidRPr="00B712C7">
              <w:rPr>
                <w:rFonts w:ascii="Arial" w:hAnsi="Arial" w:cs="Arial"/>
                <w:sz w:val="18"/>
                <w:szCs w:val="18"/>
              </w:rPr>
              <w:t>1,338</w:t>
            </w:r>
          </w:p>
          <w:p w:rsidRPr="00B712C7" w:rsidR="00BC6762" w:rsidP="00BC6762" w:rsidRDefault="00BC6762" w14:paraId="4BFA511E" w14:textId="77777777">
            <w:pPr>
              <w:pStyle w:val="BodyTextSpaceAfter"/>
              <w:spacing w:before="60" w:after="60"/>
              <w:jc w:val="center"/>
              <w:rPr>
                <w:rFonts w:ascii="Arial" w:hAnsi="Arial" w:cs="Arial"/>
                <w:sz w:val="18"/>
                <w:szCs w:val="18"/>
              </w:rPr>
            </w:pPr>
            <w:r w:rsidRPr="00B712C7">
              <w:rPr>
                <w:rFonts w:ascii="Arial" w:hAnsi="Arial" w:cs="Arial"/>
                <w:sz w:val="18"/>
                <w:szCs w:val="18"/>
              </w:rPr>
              <w:t>568</w:t>
            </w:r>
          </w:p>
          <w:p w:rsidRPr="00B712C7" w:rsidR="00BC6762" w:rsidP="00BC6762" w:rsidRDefault="00BC6762" w14:paraId="5D06D373" w14:textId="77777777">
            <w:pPr>
              <w:pStyle w:val="BodyTextSpaceAfter"/>
              <w:spacing w:before="60" w:after="60"/>
              <w:jc w:val="center"/>
              <w:rPr>
                <w:rFonts w:ascii="Arial" w:hAnsi="Arial" w:cs="Arial"/>
                <w:sz w:val="18"/>
                <w:szCs w:val="18"/>
              </w:rPr>
            </w:pPr>
            <w:r w:rsidRPr="00B712C7">
              <w:rPr>
                <w:rFonts w:ascii="Arial" w:hAnsi="Arial" w:cs="Arial"/>
                <w:sz w:val="18"/>
                <w:szCs w:val="18"/>
              </w:rPr>
              <w:t>219</w:t>
            </w:r>
          </w:p>
          <w:p w:rsidRPr="00B712C7" w:rsidR="00BC6762" w:rsidP="00BC6762" w:rsidRDefault="00BC6762" w14:paraId="69EABDAA" w14:textId="77777777">
            <w:pPr>
              <w:pStyle w:val="BodyTextSpaceAfter"/>
              <w:spacing w:before="60" w:after="60"/>
              <w:jc w:val="center"/>
              <w:rPr>
                <w:rFonts w:ascii="Arial" w:hAnsi="Arial" w:cs="Arial"/>
                <w:sz w:val="18"/>
                <w:szCs w:val="18"/>
              </w:rPr>
            </w:pPr>
            <w:r w:rsidRPr="00B712C7">
              <w:rPr>
                <w:rFonts w:ascii="Arial" w:hAnsi="Arial" w:cs="Arial"/>
                <w:sz w:val="18"/>
                <w:szCs w:val="18"/>
              </w:rPr>
              <w:t>104</w:t>
            </w:r>
          </w:p>
        </w:tc>
        <w:tc>
          <w:tcPr>
            <w:tcW w:w="1205" w:type="dxa"/>
            <w:tcBorders>
              <w:top w:val="single" w:color="auto" w:sz="4" w:space="0"/>
              <w:left w:val="nil"/>
              <w:bottom w:val="single" w:color="auto" w:sz="4" w:space="0"/>
              <w:right w:val="nil"/>
            </w:tcBorders>
            <w:shd w:val="clear" w:color="auto" w:fill="E4D2E2"/>
            <w:vAlign w:val="bottom"/>
          </w:tcPr>
          <w:p w:rsidRPr="00B712C7" w:rsidR="00FA7778" w:rsidP="00FA7778" w:rsidRDefault="00FA7778" w14:paraId="6D7B0942" w14:textId="77777777">
            <w:pPr>
              <w:pStyle w:val="BodyTextSpaceAfter"/>
              <w:spacing w:before="60" w:after="60"/>
              <w:jc w:val="center"/>
              <w:rPr>
                <w:rFonts w:ascii="Arial" w:hAnsi="Arial" w:cs="Arial"/>
                <w:sz w:val="18"/>
                <w:szCs w:val="18"/>
              </w:rPr>
            </w:pPr>
            <w:r w:rsidRPr="00B712C7">
              <w:rPr>
                <w:rFonts w:ascii="Arial" w:hAnsi="Arial" w:cs="Arial"/>
                <w:sz w:val="18"/>
                <w:szCs w:val="18"/>
              </w:rPr>
              <w:t>0.8</w:t>
            </w:r>
          </w:p>
          <w:p w:rsidRPr="00B712C7" w:rsidR="00FA7778" w:rsidP="00FA7778" w:rsidRDefault="00FA7778" w14:paraId="241F1566" w14:textId="77777777">
            <w:pPr>
              <w:pStyle w:val="BodyTextSpaceAfter"/>
              <w:spacing w:before="60" w:after="60"/>
              <w:jc w:val="center"/>
              <w:rPr>
                <w:rFonts w:ascii="Arial" w:hAnsi="Arial" w:cs="Arial"/>
                <w:sz w:val="18"/>
                <w:szCs w:val="18"/>
              </w:rPr>
            </w:pPr>
            <w:r w:rsidRPr="00B712C7">
              <w:rPr>
                <w:rFonts w:ascii="Arial" w:hAnsi="Arial" w:cs="Arial"/>
                <w:sz w:val="18"/>
                <w:szCs w:val="18"/>
              </w:rPr>
              <w:t>16.7</w:t>
            </w:r>
          </w:p>
          <w:p w:rsidRPr="00B712C7" w:rsidR="00FA7778" w:rsidP="00FA7778" w:rsidRDefault="00FA7778" w14:paraId="5784BD99" w14:textId="77777777">
            <w:pPr>
              <w:pStyle w:val="BodyTextSpaceAfter"/>
              <w:spacing w:before="60" w:after="60"/>
              <w:jc w:val="center"/>
              <w:rPr>
                <w:rFonts w:ascii="Arial" w:hAnsi="Arial" w:cs="Arial"/>
                <w:sz w:val="18"/>
                <w:szCs w:val="18"/>
              </w:rPr>
            </w:pPr>
            <w:r w:rsidRPr="00B712C7">
              <w:rPr>
                <w:rFonts w:ascii="Arial" w:hAnsi="Arial" w:cs="Arial"/>
                <w:sz w:val="18"/>
                <w:szCs w:val="18"/>
              </w:rPr>
              <w:t>27.6</w:t>
            </w:r>
          </w:p>
          <w:p w:rsidRPr="00B712C7" w:rsidR="00FA7778" w:rsidP="00FA7778" w:rsidRDefault="00FA7778" w14:paraId="1A6A84BB" w14:textId="77777777">
            <w:pPr>
              <w:pStyle w:val="BodyTextSpaceAfter"/>
              <w:spacing w:before="60" w:after="60"/>
              <w:jc w:val="center"/>
              <w:rPr>
                <w:rFonts w:ascii="Arial" w:hAnsi="Arial" w:cs="Arial"/>
                <w:sz w:val="18"/>
                <w:szCs w:val="18"/>
              </w:rPr>
            </w:pPr>
            <w:r w:rsidRPr="00B712C7">
              <w:rPr>
                <w:rFonts w:ascii="Arial" w:hAnsi="Arial" w:cs="Arial"/>
                <w:sz w:val="18"/>
                <w:szCs w:val="18"/>
              </w:rPr>
              <w:t>17.6</w:t>
            </w:r>
          </w:p>
          <w:p w:rsidRPr="00B712C7" w:rsidR="00FA7778" w:rsidP="00FA7778" w:rsidRDefault="00FA7778" w14:paraId="0372ADDD" w14:textId="77777777">
            <w:pPr>
              <w:pStyle w:val="BodyTextSpaceAfter"/>
              <w:spacing w:before="60" w:after="60"/>
              <w:jc w:val="center"/>
              <w:rPr>
                <w:rFonts w:ascii="Arial" w:hAnsi="Arial" w:cs="Arial"/>
                <w:sz w:val="18"/>
                <w:szCs w:val="18"/>
              </w:rPr>
            </w:pPr>
            <w:r w:rsidRPr="00B712C7">
              <w:rPr>
                <w:rFonts w:ascii="Arial" w:hAnsi="Arial" w:cs="Arial"/>
                <w:sz w:val="18"/>
                <w:szCs w:val="18"/>
              </w:rPr>
              <w:t>13.0</w:t>
            </w:r>
          </w:p>
          <w:p w:rsidRPr="00B712C7" w:rsidR="00FA7778" w:rsidP="00FA7778" w:rsidRDefault="00FA7778" w14:paraId="6184A60A" w14:textId="77777777">
            <w:pPr>
              <w:pStyle w:val="BodyTextSpaceAfter"/>
              <w:spacing w:before="60" w:after="60"/>
              <w:jc w:val="center"/>
              <w:rPr>
                <w:rFonts w:ascii="Arial" w:hAnsi="Arial" w:cs="Arial"/>
                <w:sz w:val="18"/>
                <w:szCs w:val="18"/>
              </w:rPr>
            </w:pPr>
            <w:r w:rsidRPr="00B712C7">
              <w:rPr>
                <w:rFonts w:ascii="Arial" w:hAnsi="Arial" w:cs="Arial"/>
                <w:sz w:val="18"/>
                <w:szCs w:val="18"/>
              </w:rPr>
              <w:t>9.9</w:t>
            </w:r>
          </w:p>
          <w:p w:rsidRPr="00B712C7" w:rsidR="00FA7778" w:rsidP="00FA7778" w:rsidRDefault="00FA7778" w14:paraId="38E2B4A9" w14:textId="77777777">
            <w:pPr>
              <w:pStyle w:val="BodyTextSpaceAfter"/>
              <w:spacing w:before="60" w:after="60"/>
              <w:jc w:val="center"/>
              <w:rPr>
                <w:rFonts w:ascii="Arial" w:hAnsi="Arial" w:cs="Arial"/>
                <w:sz w:val="18"/>
                <w:szCs w:val="18"/>
              </w:rPr>
            </w:pPr>
            <w:r w:rsidRPr="00B712C7">
              <w:rPr>
                <w:rFonts w:ascii="Arial" w:hAnsi="Arial" w:cs="Arial"/>
                <w:sz w:val="18"/>
                <w:szCs w:val="18"/>
              </w:rPr>
              <w:t>7.0</w:t>
            </w:r>
          </w:p>
          <w:p w:rsidRPr="00B712C7" w:rsidR="00FA7778" w:rsidP="00FA7778" w:rsidRDefault="00FA7778" w14:paraId="6C3987DD" w14:textId="77777777">
            <w:pPr>
              <w:pStyle w:val="BodyTextSpaceAfter"/>
              <w:spacing w:before="60" w:after="60"/>
              <w:jc w:val="center"/>
              <w:rPr>
                <w:rFonts w:ascii="Arial" w:hAnsi="Arial" w:cs="Arial"/>
                <w:sz w:val="18"/>
                <w:szCs w:val="18"/>
              </w:rPr>
            </w:pPr>
            <w:r w:rsidRPr="00B712C7">
              <w:rPr>
                <w:rFonts w:ascii="Arial" w:hAnsi="Arial" w:cs="Arial"/>
                <w:sz w:val="18"/>
                <w:szCs w:val="18"/>
              </w:rPr>
              <w:t>4.0</w:t>
            </w:r>
          </w:p>
          <w:p w:rsidRPr="00B712C7" w:rsidR="00FA7778" w:rsidP="00FA7778" w:rsidRDefault="00FA7778" w14:paraId="761E2CA2" w14:textId="77777777">
            <w:pPr>
              <w:pStyle w:val="BodyTextSpaceAfter"/>
              <w:spacing w:before="60" w:after="60"/>
              <w:jc w:val="center"/>
              <w:rPr>
                <w:rFonts w:ascii="Arial" w:hAnsi="Arial" w:cs="Arial"/>
                <w:sz w:val="18"/>
                <w:szCs w:val="18"/>
              </w:rPr>
            </w:pPr>
            <w:r w:rsidRPr="00B712C7">
              <w:rPr>
                <w:rFonts w:ascii="Arial" w:hAnsi="Arial" w:cs="Arial"/>
                <w:sz w:val="18"/>
                <w:szCs w:val="18"/>
              </w:rPr>
              <w:t>2.0</w:t>
            </w:r>
          </w:p>
          <w:p w:rsidRPr="00B712C7" w:rsidR="00FA7778" w:rsidP="00FA7778" w:rsidRDefault="00FA7778" w14:paraId="7EA32CB9" w14:textId="77777777">
            <w:pPr>
              <w:pStyle w:val="BodyTextSpaceAfter"/>
              <w:spacing w:before="60" w:after="60"/>
              <w:jc w:val="center"/>
              <w:rPr>
                <w:rFonts w:ascii="Arial" w:hAnsi="Arial" w:cs="Arial"/>
                <w:sz w:val="18"/>
                <w:szCs w:val="18"/>
              </w:rPr>
            </w:pPr>
            <w:r w:rsidRPr="00B712C7">
              <w:rPr>
                <w:rFonts w:ascii="Arial" w:hAnsi="Arial" w:cs="Arial"/>
                <w:sz w:val="18"/>
                <w:szCs w:val="18"/>
              </w:rPr>
              <w:t>0.9</w:t>
            </w:r>
          </w:p>
          <w:p w:rsidRPr="00B712C7" w:rsidR="00FA7778" w:rsidP="00FA7778" w:rsidRDefault="00FA7778" w14:paraId="54F7A85F" w14:textId="77777777">
            <w:pPr>
              <w:pStyle w:val="BodyTextSpaceAfter"/>
              <w:spacing w:before="60" w:after="60"/>
              <w:jc w:val="center"/>
              <w:rPr>
                <w:rFonts w:ascii="Arial" w:hAnsi="Arial" w:cs="Arial"/>
                <w:sz w:val="18"/>
                <w:szCs w:val="18"/>
              </w:rPr>
            </w:pPr>
            <w:r w:rsidRPr="00B712C7">
              <w:rPr>
                <w:rFonts w:ascii="Arial" w:hAnsi="Arial" w:cs="Arial"/>
                <w:sz w:val="18"/>
                <w:szCs w:val="18"/>
              </w:rPr>
              <w:t>0.3</w:t>
            </w:r>
          </w:p>
          <w:p w:rsidRPr="00B712C7" w:rsidR="00FA7778" w:rsidP="00FA7778" w:rsidRDefault="00FA7778" w14:paraId="3C032565" w14:textId="77777777">
            <w:pPr>
              <w:pStyle w:val="BodyTextSpaceAfter"/>
              <w:spacing w:before="60" w:after="60"/>
              <w:jc w:val="center"/>
              <w:rPr>
                <w:rFonts w:ascii="Arial" w:hAnsi="Arial" w:cs="Arial"/>
                <w:sz w:val="18"/>
                <w:szCs w:val="18"/>
              </w:rPr>
            </w:pPr>
            <w:r w:rsidRPr="00B712C7">
              <w:rPr>
                <w:rFonts w:ascii="Arial" w:hAnsi="Arial" w:cs="Arial"/>
                <w:sz w:val="18"/>
                <w:szCs w:val="18"/>
              </w:rPr>
              <w:t>0.2</w:t>
            </w:r>
          </w:p>
        </w:tc>
      </w:tr>
      <w:tr w:rsidRPr="00B712C7" w:rsidR="00517965" w:rsidTr="00BC6762" w14:paraId="1BBCAB50" w14:textId="77777777">
        <w:tc>
          <w:tcPr>
            <w:tcW w:w="1985" w:type="dxa"/>
            <w:tcBorders>
              <w:top w:val="single" w:color="auto" w:sz="4" w:space="0"/>
              <w:left w:val="nil"/>
              <w:bottom w:val="single" w:color="auto" w:sz="4" w:space="0"/>
              <w:right w:val="nil"/>
            </w:tcBorders>
          </w:tcPr>
          <w:p w:rsidRPr="00B712C7" w:rsidR="00517965" w:rsidP="00DB4DE2" w:rsidRDefault="00517965" w14:paraId="26B0B543" w14:textId="77777777">
            <w:pPr>
              <w:pStyle w:val="BodyTextSpaceAfter"/>
              <w:spacing w:before="60" w:after="60"/>
              <w:rPr>
                <w:rFonts w:ascii="Arial" w:hAnsi="Arial" w:cs="Arial"/>
                <w:b/>
                <w:sz w:val="18"/>
                <w:szCs w:val="18"/>
              </w:rPr>
            </w:pPr>
            <w:r w:rsidRPr="00B712C7">
              <w:rPr>
                <w:rFonts w:ascii="Arial" w:hAnsi="Arial" w:cs="Arial"/>
                <w:b/>
                <w:sz w:val="18"/>
                <w:szCs w:val="18"/>
              </w:rPr>
              <w:t>Total</w:t>
            </w:r>
          </w:p>
        </w:tc>
        <w:tc>
          <w:tcPr>
            <w:tcW w:w="1204" w:type="dxa"/>
            <w:tcBorders>
              <w:top w:val="single" w:color="auto" w:sz="4" w:space="0"/>
              <w:left w:val="nil"/>
              <w:bottom w:val="single" w:color="auto" w:sz="4" w:space="0"/>
              <w:right w:val="nil"/>
            </w:tcBorders>
            <w:shd w:val="clear" w:color="auto" w:fill="E4D2E2"/>
            <w:vAlign w:val="bottom"/>
          </w:tcPr>
          <w:p w:rsidRPr="00B712C7" w:rsidR="00517965" w:rsidP="00DB4DE2" w:rsidRDefault="00401F65" w14:paraId="6426966B"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12,036</w:t>
            </w:r>
          </w:p>
        </w:tc>
        <w:tc>
          <w:tcPr>
            <w:tcW w:w="1205" w:type="dxa"/>
            <w:tcBorders>
              <w:top w:val="single" w:color="auto" w:sz="4" w:space="0"/>
              <w:left w:val="nil"/>
              <w:bottom w:val="single" w:color="auto" w:sz="4" w:space="0"/>
              <w:right w:val="nil"/>
            </w:tcBorders>
            <w:shd w:val="clear" w:color="auto" w:fill="E4D2E2"/>
            <w:vAlign w:val="bottom"/>
          </w:tcPr>
          <w:p w:rsidRPr="00B712C7" w:rsidR="00517965" w:rsidP="00BC6762" w:rsidRDefault="00BC6762" w14:paraId="376560DC" w14:textId="77777777">
            <w:pPr>
              <w:pStyle w:val="BodyTextSpaceAfter"/>
              <w:spacing w:before="60" w:after="60"/>
              <w:jc w:val="center"/>
              <w:rPr>
                <w:rFonts w:ascii="Arial" w:hAnsi="Arial" w:cs="Arial"/>
                <w:sz w:val="18"/>
                <w:szCs w:val="18"/>
              </w:rPr>
            </w:pPr>
            <w:r w:rsidRPr="00B712C7">
              <w:rPr>
                <w:rFonts w:ascii="Arial" w:hAnsi="Arial" w:cs="Arial"/>
                <w:sz w:val="18"/>
                <w:szCs w:val="18"/>
              </w:rPr>
              <w:t>18.3</w:t>
            </w:r>
          </w:p>
        </w:tc>
        <w:tc>
          <w:tcPr>
            <w:tcW w:w="1205" w:type="dxa"/>
            <w:tcBorders>
              <w:top w:val="single" w:color="auto" w:sz="4" w:space="0"/>
              <w:left w:val="nil"/>
              <w:bottom w:val="single" w:color="auto" w:sz="4" w:space="0"/>
              <w:right w:val="nil"/>
            </w:tcBorders>
            <w:vAlign w:val="bottom"/>
          </w:tcPr>
          <w:p w:rsidRPr="00B712C7" w:rsidR="00517965" w:rsidP="00DB4DE2" w:rsidRDefault="00BC6762" w14:paraId="4741B788"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53,562</w:t>
            </w:r>
          </w:p>
        </w:tc>
        <w:tc>
          <w:tcPr>
            <w:tcW w:w="1205" w:type="dxa"/>
            <w:tcBorders>
              <w:top w:val="single" w:color="auto" w:sz="4" w:space="0"/>
              <w:left w:val="nil"/>
              <w:bottom w:val="single" w:color="auto" w:sz="4" w:space="0"/>
              <w:right w:val="nil"/>
            </w:tcBorders>
            <w:vAlign w:val="bottom"/>
          </w:tcPr>
          <w:p w:rsidRPr="00B712C7" w:rsidR="00517965" w:rsidP="00DB4DE2" w:rsidRDefault="00BC6762" w14:paraId="3F2AAD8E" w14:textId="77777777">
            <w:pPr>
              <w:pStyle w:val="BodyTextSpaceAfter"/>
              <w:spacing w:before="60" w:after="60"/>
              <w:jc w:val="center"/>
              <w:rPr>
                <w:rFonts w:ascii="Arial" w:hAnsi="Arial" w:cs="Arial"/>
                <w:sz w:val="18"/>
                <w:szCs w:val="18"/>
              </w:rPr>
            </w:pPr>
            <w:r w:rsidRPr="00B712C7">
              <w:rPr>
                <w:rFonts w:ascii="Arial" w:hAnsi="Arial" w:cs="Arial"/>
                <w:sz w:val="18"/>
                <w:szCs w:val="18"/>
              </w:rPr>
              <w:t>81.7</w:t>
            </w:r>
          </w:p>
        </w:tc>
        <w:tc>
          <w:tcPr>
            <w:tcW w:w="1205" w:type="dxa"/>
            <w:tcBorders>
              <w:top w:val="single" w:color="auto" w:sz="4" w:space="0"/>
              <w:left w:val="nil"/>
              <w:bottom w:val="single" w:color="auto" w:sz="4" w:space="0"/>
              <w:right w:val="nil"/>
            </w:tcBorders>
            <w:shd w:val="clear" w:color="auto" w:fill="E4D2E2"/>
          </w:tcPr>
          <w:p w:rsidRPr="00B712C7" w:rsidR="00517965" w:rsidP="00DB4DE2" w:rsidRDefault="00BC6762" w14:paraId="6350EF8F" w14:textId="77777777">
            <w:pPr>
              <w:pStyle w:val="BodyTextSpaceAfter"/>
              <w:spacing w:before="60" w:after="60"/>
              <w:jc w:val="center"/>
              <w:rPr>
                <w:rFonts w:ascii="Arial" w:hAnsi="Arial" w:cs="Arial"/>
                <w:sz w:val="18"/>
                <w:szCs w:val="18"/>
              </w:rPr>
            </w:pPr>
            <w:r w:rsidRPr="00B712C7">
              <w:rPr>
                <w:rFonts w:ascii="Arial" w:hAnsi="Arial" w:cs="Arial"/>
                <w:sz w:val="18"/>
                <w:szCs w:val="18"/>
              </w:rPr>
              <w:t>65,598</w:t>
            </w:r>
          </w:p>
        </w:tc>
        <w:tc>
          <w:tcPr>
            <w:tcW w:w="1205" w:type="dxa"/>
            <w:tcBorders>
              <w:top w:val="single" w:color="auto" w:sz="4" w:space="0"/>
              <w:left w:val="nil"/>
              <w:bottom w:val="single" w:color="auto" w:sz="4" w:space="0"/>
              <w:right w:val="nil"/>
            </w:tcBorders>
            <w:shd w:val="clear" w:color="auto" w:fill="E4D2E2"/>
          </w:tcPr>
          <w:p w:rsidRPr="00B712C7" w:rsidR="00517965" w:rsidP="00DB4DE2" w:rsidRDefault="00BC6762" w14:paraId="33032C06" w14:textId="77777777">
            <w:pPr>
              <w:pStyle w:val="BodyTextSpaceAfter"/>
              <w:spacing w:before="60" w:after="60"/>
              <w:jc w:val="center"/>
              <w:rPr>
                <w:rFonts w:ascii="Arial" w:hAnsi="Arial" w:cs="Arial"/>
                <w:sz w:val="18"/>
                <w:szCs w:val="18"/>
              </w:rPr>
            </w:pPr>
            <w:r w:rsidRPr="00B712C7">
              <w:rPr>
                <w:rFonts w:ascii="Arial" w:hAnsi="Arial" w:cs="Arial"/>
                <w:sz w:val="18"/>
                <w:szCs w:val="18"/>
              </w:rPr>
              <w:t>100.0</w:t>
            </w:r>
          </w:p>
        </w:tc>
      </w:tr>
    </w:tbl>
    <w:p w:rsidRPr="00B712C7" w:rsidR="00361ABC" w:rsidP="00B21A2B" w:rsidRDefault="00361ABC" w14:paraId="7032C326" w14:textId="77777777">
      <w:pPr>
        <w:widowControl w:val="false"/>
        <w:suppressAutoHyphens/>
        <w:autoSpaceDE w:val="false"/>
        <w:autoSpaceDN w:val="false"/>
        <w:adjustRightInd w:val="false"/>
        <w:spacing w:before="170" w:after="57" w:line="300" w:lineRule="atLeast"/>
        <w:textAlignment w:val="center"/>
        <w:outlineLvl w:val="2"/>
        <w:rPr>
          <w:rFonts w:ascii="Arial" w:hAnsi="Arial" w:cs="Arial"/>
        </w:rPr>
      </w:pPr>
    </w:p>
    <w:p w:rsidRPr="00B712C7" w:rsidR="00361ABC" w:rsidP="00B21A2B" w:rsidRDefault="002460AF" w14:paraId="77C9F00C" w14:textId="58937332">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cs="Arial"/>
        </w:rPr>
        <w:t>Figure 6</w:t>
      </w:r>
      <w:r w:rsidRPr="00B712C7" w:rsidR="00361ABC">
        <w:rPr>
          <w:rFonts w:ascii="Arial" w:hAnsi="Arial" w:cs="Arial"/>
        </w:rPr>
        <w:t>: Age at first offence incident for females and males</w:t>
      </w:r>
    </w:p>
    <w:p w:rsidRPr="00B712C7" w:rsidR="00517965" w:rsidP="00B21A2B" w:rsidRDefault="00361ABC" w14:paraId="3004DA54" w14:textId="36899F58">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cs="Arial"/>
          <w:noProof/>
          <w:lang w:eastAsia="en-AU"/>
        </w:rPr>
        <w:drawing>
          <wp:inline distT="0" distB="0" distL="0" distR="0">
            <wp:extent cx="6106795" cy="3841115"/>
            <wp:effectExtent l="0" t="0" r="8255" b="6985"/>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 name="Chart 3"/>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4:chart xmlns:ns4="http://schemas.openxmlformats.org/drawingml/2006/chart" r:id="rId13"/>
              </a:graphicData>
            </a:graphic>
          </wp:inline>
        </w:drawing>
      </w:r>
    </w:p>
    <w:p w:rsidRPr="00B712C7" w:rsidR="006F0E4B" w:rsidP="00CC4728" w:rsidRDefault="006F0E4B" w14:paraId="10D9BCBD"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p>
    <w:p w:rsidR="00A06EEC" w:rsidP="00CC4728" w:rsidRDefault="00A06EEC" w14:paraId="38E0921E"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p>
    <w:p w:rsidRPr="00B712C7" w:rsidR="0057281C" w:rsidP="00CC4728" w:rsidRDefault="008C7453" w14:paraId="454A4EF6" w14:textId="5E850036">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lastRenderedPageBreak/>
        <w:t xml:space="preserve">Employment and relationship status details are also routinely collected by police for the majority of </w:t>
      </w:r>
      <w:r w:rsidRPr="00B712C7" w:rsidR="004222B7">
        <w:rPr>
          <w:rFonts w:ascii="Arial" w:hAnsi="Arial" w:eastAsia="MS Mincho" w:cs="Arial"/>
        </w:rPr>
        <w:t xml:space="preserve">drug use and possession </w:t>
      </w:r>
      <w:r w:rsidRPr="00B712C7">
        <w:rPr>
          <w:rFonts w:ascii="Arial" w:hAnsi="Arial" w:eastAsia="MS Mincho" w:cs="Arial"/>
        </w:rPr>
        <w:t>offenders.</w:t>
      </w:r>
      <w:r w:rsidRPr="00B712C7" w:rsidR="003F52EF">
        <w:rPr>
          <w:rFonts w:ascii="Arial" w:hAnsi="Arial" w:eastAsia="MS Mincho" w:cs="Arial"/>
        </w:rPr>
        <w:t xml:space="preserve"> Of these</w:t>
      </w:r>
      <w:r w:rsidRPr="00B712C7" w:rsidR="00E25F0C">
        <w:rPr>
          <w:rFonts w:ascii="Arial" w:hAnsi="Arial" w:eastAsia="MS Mincho" w:cs="Arial"/>
        </w:rPr>
        <w:t>, over half of</w:t>
      </w:r>
      <w:r w:rsidRPr="00B712C7" w:rsidR="004222B7">
        <w:rPr>
          <w:rFonts w:ascii="Arial" w:hAnsi="Arial" w:eastAsia="MS Mincho" w:cs="Arial"/>
        </w:rPr>
        <w:t xml:space="preserve"> all offenders </w:t>
      </w:r>
      <w:r w:rsidRPr="00B712C7" w:rsidR="00043F3E">
        <w:rPr>
          <w:rFonts w:ascii="Arial" w:hAnsi="Arial" w:eastAsia="MS Mincho" w:cs="Arial"/>
        </w:rPr>
        <w:t xml:space="preserve">were recorded by police as </w:t>
      </w:r>
      <w:r w:rsidRPr="00B712C7" w:rsidR="00F4691F">
        <w:rPr>
          <w:rFonts w:ascii="Arial" w:hAnsi="Arial" w:eastAsia="MS Mincho" w:cs="Arial"/>
        </w:rPr>
        <w:t>employed (53.9</w:t>
      </w:r>
      <w:r w:rsidRPr="00B712C7" w:rsidR="00E25F0C">
        <w:rPr>
          <w:rFonts w:ascii="Arial" w:hAnsi="Arial" w:eastAsia="MS Mincho" w:cs="Arial"/>
        </w:rPr>
        <w:t xml:space="preserve">%, </w:t>
      </w:r>
      <w:r w:rsidRPr="00B712C7" w:rsidR="00E25F0C">
        <w:rPr>
          <w:rFonts w:ascii="Arial" w:hAnsi="Arial" w:eastAsia="MS Mincho" w:cs="Arial"/>
          <w:i/>
        </w:rPr>
        <w:t>n</w:t>
      </w:r>
      <w:r w:rsidRPr="00B712C7" w:rsidR="00F4691F">
        <w:rPr>
          <w:rFonts w:ascii="Arial" w:hAnsi="Arial" w:eastAsia="MS Mincho" w:cs="Arial"/>
        </w:rPr>
        <w:t>=28,810), 10.3</w:t>
      </w:r>
      <w:r w:rsidRPr="00B712C7" w:rsidR="00E25F0C">
        <w:rPr>
          <w:rFonts w:ascii="Arial" w:hAnsi="Arial" w:eastAsia="MS Mincho" w:cs="Arial"/>
        </w:rPr>
        <w:t>% (</w:t>
      </w:r>
      <w:r w:rsidRPr="00B712C7" w:rsidR="00E25F0C">
        <w:rPr>
          <w:rFonts w:ascii="Arial" w:hAnsi="Arial" w:eastAsia="MS Mincho" w:cs="Arial"/>
          <w:i/>
        </w:rPr>
        <w:t>n</w:t>
      </w:r>
      <w:r w:rsidRPr="00B712C7" w:rsidR="00110E83">
        <w:rPr>
          <w:rFonts w:ascii="Arial" w:hAnsi="Arial" w:eastAsia="MS Mincho" w:cs="Arial"/>
        </w:rPr>
        <w:t>=5,491</w:t>
      </w:r>
      <w:r w:rsidRPr="00B712C7" w:rsidR="00043F3E">
        <w:rPr>
          <w:rFonts w:ascii="Arial" w:hAnsi="Arial" w:eastAsia="MS Mincho" w:cs="Arial"/>
        </w:rPr>
        <w:t>) we</w:t>
      </w:r>
      <w:r w:rsidRPr="00B712C7" w:rsidR="00110E83">
        <w:rPr>
          <w:rFonts w:ascii="Arial" w:hAnsi="Arial" w:eastAsia="MS Mincho" w:cs="Arial"/>
        </w:rPr>
        <w:t xml:space="preserve">re </w:t>
      </w:r>
      <w:r w:rsidRPr="00B712C7" w:rsidR="00043F3E">
        <w:rPr>
          <w:rFonts w:ascii="Arial" w:hAnsi="Arial" w:eastAsia="MS Mincho" w:cs="Arial"/>
        </w:rPr>
        <w:t xml:space="preserve">recorded as </w:t>
      </w:r>
      <w:r w:rsidRPr="00B712C7" w:rsidR="00110E83">
        <w:rPr>
          <w:rFonts w:ascii="Arial" w:hAnsi="Arial" w:eastAsia="MS Mincho" w:cs="Arial"/>
        </w:rPr>
        <w:t>students and the remaining 35.8</w:t>
      </w:r>
      <w:r w:rsidRPr="00B712C7" w:rsidR="00E25F0C">
        <w:rPr>
          <w:rFonts w:ascii="Arial" w:hAnsi="Arial" w:eastAsia="MS Mincho" w:cs="Arial"/>
        </w:rPr>
        <w:t>% (</w:t>
      </w:r>
      <w:r w:rsidRPr="00B712C7" w:rsidR="00E25F0C">
        <w:rPr>
          <w:rFonts w:ascii="Arial" w:hAnsi="Arial" w:eastAsia="MS Mincho" w:cs="Arial"/>
          <w:i/>
        </w:rPr>
        <w:t>n</w:t>
      </w:r>
      <w:r w:rsidRPr="00B712C7" w:rsidR="00110E83">
        <w:rPr>
          <w:rFonts w:ascii="Arial" w:hAnsi="Arial" w:eastAsia="MS Mincho" w:cs="Arial"/>
        </w:rPr>
        <w:t>=19,139</w:t>
      </w:r>
      <w:r w:rsidRPr="00B712C7" w:rsidR="00043F3E">
        <w:rPr>
          <w:rFonts w:ascii="Arial" w:hAnsi="Arial" w:eastAsia="MS Mincho" w:cs="Arial"/>
        </w:rPr>
        <w:t xml:space="preserve">) </w:t>
      </w:r>
      <w:r w:rsidRPr="00B712C7" w:rsidR="00E25F0C">
        <w:rPr>
          <w:rFonts w:ascii="Arial" w:hAnsi="Arial" w:eastAsia="MS Mincho" w:cs="Arial"/>
        </w:rPr>
        <w:t xml:space="preserve">were </w:t>
      </w:r>
      <w:r w:rsidRPr="00B712C7" w:rsidR="00043F3E">
        <w:rPr>
          <w:rFonts w:ascii="Arial" w:hAnsi="Arial" w:eastAsia="MS Mincho" w:cs="Arial"/>
        </w:rPr>
        <w:t xml:space="preserve">recorded as </w:t>
      </w:r>
      <w:r w:rsidRPr="00B712C7" w:rsidR="00E25F0C">
        <w:rPr>
          <w:rFonts w:ascii="Arial" w:hAnsi="Arial" w:eastAsia="MS Mincho" w:cs="Arial"/>
        </w:rPr>
        <w:t xml:space="preserve">unemployed. </w:t>
      </w:r>
      <w:r w:rsidRPr="00B712C7" w:rsidR="0057281C">
        <w:rPr>
          <w:rFonts w:ascii="Arial" w:hAnsi="Arial" w:eastAsia="MS Mincho" w:cs="Arial"/>
        </w:rPr>
        <w:t>Between 2005 and 2014, there were small decreases in the proportion of unique offenders who were recorded as employed, from 56.7% (</w:t>
      </w:r>
      <w:r w:rsidRPr="00B712C7" w:rsidR="0057281C">
        <w:rPr>
          <w:rFonts w:ascii="Arial" w:hAnsi="Arial" w:eastAsia="MS Mincho" w:cs="Arial"/>
          <w:i/>
        </w:rPr>
        <w:t>n</w:t>
      </w:r>
      <w:r w:rsidRPr="00B712C7" w:rsidR="0057281C">
        <w:rPr>
          <w:rFonts w:ascii="Arial" w:hAnsi="Arial" w:eastAsia="MS Mincho" w:cs="Arial"/>
        </w:rPr>
        <w:t>=7,190) in 2005</w:t>
      </w:r>
      <w:r w:rsidRPr="00B712C7" w:rsidR="0057281C">
        <w:rPr>
          <w:rFonts w:ascii="Arial" w:hAnsi="Arial" w:eastAsia="MS Mincho" w:cs="Arial"/>
          <w:i/>
        </w:rPr>
        <w:t xml:space="preserve"> </w:t>
      </w:r>
      <w:r w:rsidRPr="00B712C7" w:rsidR="0057281C">
        <w:rPr>
          <w:rFonts w:ascii="Arial" w:hAnsi="Arial" w:eastAsia="MS Mincho" w:cs="Arial"/>
        </w:rPr>
        <w:t>to 51.2% (</w:t>
      </w:r>
      <w:r w:rsidRPr="00B712C7" w:rsidR="0057281C">
        <w:rPr>
          <w:rFonts w:ascii="Arial" w:hAnsi="Arial" w:eastAsia="MS Mincho" w:cs="Arial"/>
          <w:i/>
        </w:rPr>
        <w:t>n</w:t>
      </w:r>
      <w:r w:rsidRPr="00B712C7" w:rsidR="0057281C">
        <w:rPr>
          <w:rFonts w:ascii="Arial" w:hAnsi="Arial" w:eastAsia="MS Mincho" w:cs="Arial"/>
        </w:rPr>
        <w:t>=5,048) in 2014. Conversely, the proportion that were unemployed or students increased slightly over this time: from 36.9% (</w:t>
      </w:r>
      <w:r w:rsidRPr="00B712C7" w:rsidR="0057281C">
        <w:rPr>
          <w:rFonts w:ascii="Arial" w:hAnsi="Arial" w:eastAsia="MS Mincho" w:cs="Arial"/>
          <w:i/>
        </w:rPr>
        <w:t>n</w:t>
      </w:r>
      <w:r w:rsidRPr="00B712C7" w:rsidR="0057281C">
        <w:rPr>
          <w:rFonts w:ascii="Arial" w:hAnsi="Arial" w:eastAsia="MS Mincho" w:cs="Arial"/>
        </w:rPr>
        <w:t>=2,500) to 37.8% (</w:t>
      </w:r>
      <w:r w:rsidRPr="00B712C7" w:rsidR="0057281C">
        <w:rPr>
          <w:rFonts w:ascii="Arial" w:hAnsi="Arial" w:eastAsia="MS Mincho" w:cs="Arial"/>
          <w:i/>
        </w:rPr>
        <w:t>n</w:t>
      </w:r>
      <w:r w:rsidRPr="00B712C7" w:rsidR="0057281C">
        <w:rPr>
          <w:rFonts w:ascii="Arial" w:hAnsi="Arial" w:eastAsia="MS Mincho" w:cs="Arial"/>
        </w:rPr>
        <w:t>=3,729) unemployed, and 6.4% (</w:t>
      </w:r>
      <w:r w:rsidRPr="00B712C7" w:rsidR="0057281C">
        <w:rPr>
          <w:rFonts w:ascii="Arial" w:hAnsi="Arial" w:eastAsia="MS Mincho" w:cs="Arial"/>
          <w:i/>
        </w:rPr>
        <w:t>n</w:t>
      </w:r>
      <w:r w:rsidRPr="00B712C7" w:rsidR="0057281C">
        <w:rPr>
          <w:rFonts w:ascii="Arial" w:hAnsi="Arial" w:eastAsia="MS Mincho" w:cs="Arial"/>
        </w:rPr>
        <w:t>=433) to 10.9% (</w:t>
      </w:r>
      <w:r w:rsidRPr="00B712C7" w:rsidR="0057281C">
        <w:rPr>
          <w:rFonts w:ascii="Arial" w:hAnsi="Arial" w:eastAsia="MS Mincho" w:cs="Arial"/>
          <w:i/>
        </w:rPr>
        <w:t>n</w:t>
      </w:r>
      <w:r w:rsidRPr="00B712C7" w:rsidR="0057281C">
        <w:rPr>
          <w:rFonts w:ascii="Arial" w:hAnsi="Arial" w:eastAsia="MS Mincho" w:cs="Arial"/>
        </w:rPr>
        <w:t xml:space="preserve">=1,076) students. </w:t>
      </w:r>
    </w:p>
    <w:p w:rsidRPr="00B712C7" w:rsidR="00366FB3" w:rsidP="00CC4728" w:rsidRDefault="00E25F0C" w14:paraId="4538A02F" w14:textId="5E70E10F">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Relationship st</w:t>
      </w:r>
      <w:r w:rsidRPr="00B712C7" w:rsidR="00110E83">
        <w:rPr>
          <w:rFonts w:ascii="Arial" w:hAnsi="Arial" w:eastAsia="MS Mincho" w:cs="Arial"/>
        </w:rPr>
        <w:t>atus was recorded for 73.2</w:t>
      </w:r>
      <w:r w:rsidRPr="00B712C7">
        <w:rPr>
          <w:rFonts w:ascii="Arial" w:hAnsi="Arial" w:eastAsia="MS Mincho" w:cs="Arial"/>
        </w:rPr>
        <w:t>% (</w:t>
      </w:r>
      <w:r w:rsidRPr="00B712C7">
        <w:rPr>
          <w:rFonts w:ascii="Arial" w:hAnsi="Arial" w:eastAsia="MS Mincho" w:cs="Arial"/>
          <w:i/>
        </w:rPr>
        <w:t>n</w:t>
      </w:r>
      <w:r w:rsidRPr="00B712C7" w:rsidR="00110E83">
        <w:rPr>
          <w:rFonts w:ascii="Arial" w:hAnsi="Arial" w:eastAsia="MS Mincho" w:cs="Arial"/>
        </w:rPr>
        <w:t>=48,442</w:t>
      </w:r>
      <w:r w:rsidRPr="00B712C7">
        <w:rPr>
          <w:rFonts w:ascii="Arial" w:hAnsi="Arial" w:eastAsia="MS Mincho" w:cs="Arial"/>
        </w:rPr>
        <w:t>) of offenders. Of those, the vast majo</w:t>
      </w:r>
      <w:r w:rsidRPr="00B712C7" w:rsidR="00043F3E">
        <w:rPr>
          <w:rFonts w:ascii="Arial" w:hAnsi="Arial" w:eastAsia="MS Mincho" w:cs="Arial"/>
        </w:rPr>
        <w:t>rity</w:t>
      </w:r>
      <w:r w:rsidRPr="00B712C7" w:rsidR="00110E83">
        <w:rPr>
          <w:rFonts w:ascii="Arial" w:hAnsi="Arial" w:eastAsia="MS Mincho" w:cs="Arial"/>
        </w:rPr>
        <w:t xml:space="preserve"> were</w:t>
      </w:r>
      <w:r w:rsidRPr="00B712C7" w:rsidR="00043F3E">
        <w:rPr>
          <w:rFonts w:ascii="Arial" w:hAnsi="Arial" w:eastAsia="MS Mincho" w:cs="Arial"/>
        </w:rPr>
        <w:t xml:space="preserve"> recorded as</w:t>
      </w:r>
      <w:r w:rsidRPr="00B712C7" w:rsidR="00110E83">
        <w:rPr>
          <w:rFonts w:ascii="Arial" w:hAnsi="Arial" w:eastAsia="MS Mincho" w:cs="Arial"/>
        </w:rPr>
        <w:t xml:space="preserve"> single (78.7</w:t>
      </w:r>
      <w:r w:rsidRPr="00B712C7">
        <w:rPr>
          <w:rFonts w:ascii="Arial" w:hAnsi="Arial" w:eastAsia="MS Mincho" w:cs="Arial"/>
        </w:rPr>
        <w:t xml:space="preserve">%, </w:t>
      </w:r>
      <w:r w:rsidRPr="00B712C7">
        <w:rPr>
          <w:rFonts w:ascii="Arial" w:hAnsi="Arial" w:eastAsia="MS Mincho" w:cs="Arial"/>
          <w:i/>
        </w:rPr>
        <w:t>n</w:t>
      </w:r>
      <w:r w:rsidRPr="00B712C7" w:rsidR="00110E83">
        <w:rPr>
          <w:rFonts w:ascii="Arial" w:hAnsi="Arial" w:eastAsia="MS Mincho" w:cs="Arial"/>
        </w:rPr>
        <w:t>=38,110</w:t>
      </w:r>
      <w:r w:rsidRPr="00B712C7">
        <w:rPr>
          <w:rFonts w:ascii="Arial" w:hAnsi="Arial" w:eastAsia="MS Mincho" w:cs="Arial"/>
        </w:rPr>
        <w:t>) and the remainder (</w:t>
      </w:r>
      <w:r w:rsidRPr="00B712C7" w:rsidR="00110E83">
        <w:rPr>
          <w:rFonts w:ascii="Arial" w:hAnsi="Arial" w:eastAsia="MS Mincho" w:cs="Arial"/>
        </w:rPr>
        <w:t>21.3</w:t>
      </w:r>
      <w:r w:rsidRPr="00B712C7" w:rsidR="00F042E3">
        <w:rPr>
          <w:rFonts w:ascii="Arial" w:hAnsi="Arial" w:eastAsia="MS Mincho" w:cs="Arial"/>
        </w:rPr>
        <w:t xml:space="preserve">%, </w:t>
      </w:r>
      <w:r w:rsidRPr="00B712C7" w:rsidR="00110E83">
        <w:rPr>
          <w:rFonts w:ascii="Arial" w:hAnsi="Arial" w:eastAsia="MS Mincho" w:cs="Arial"/>
          <w:i/>
        </w:rPr>
        <w:t>n</w:t>
      </w:r>
      <w:r w:rsidRPr="00B712C7" w:rsidR="00110E83">
        <w:rPr>
          <w:rFonts w:ascii="Arial" w:hAnsi="Arial" w:eastAsia="MS Mincho" w:cs="Arial"/>
        </w:rPr>
        <w:t>=10,322</w:t>
      </w:r>
      <w:r w:rsidRPr="00B712C7">
        <w:rPr>
          <w:rFonts w:ascii="Arial" w:hAnsi="Arial" w:eastAsia="MS Mincho" w:cs="Arial"/>
        </w:rPr>
        <w:t>)</w:t>
      </w:r>
      <w:r w:rsidRPr="00B712C7" w:rsidR="00043F3E">
        <w:rPr>
          <w:rFonts w:ascii="Arial" w:hAnsi="Arial" w:eastAsia="MS Mincho" w:cs="Arial"/>
        </w:rPr>
        <w:t xml:space="preserve"> were recorded as having</w:t>
      </w:r>
      <w:r w:rsidRPr="00B712C7" w:rsidR="00135BEA">
        <w:rPr>
          <w:rFonts w:ascii="Arial" w:hAnsi="Arial" w:eastAsia="MS Mincho" w:cs="Arial"/>
        </w:rPr>
        <w:t xml:space="preserve"> a partner</w:t>
      </w:r>
      <w:r w:rsidRPr="00B712C7" w:rsidR="00F042E3">
        <w:rPr>
          <w:rFonts w:ascii="Arial" w:hAnsi="Arial" w:eastAsia="MS Mincho" w:cs="Arial"/>
        </w:rPr>
        <w:t>.</w:t>
      </w:r>
      <w:r w:rsidRPr="00B712C7" w:rsidR="00CC4728">
        <w:rPr>
          <w:rFonts w:ascii="Arial" w:hAnsi="Arial" w:eastAsia="MS Mincho" w:cs="Arial"/>
        </w:rPr>
        <w:t xml:space="preserve"> Again these characteristics remain</w:t>
      </w:r>
      <w:r w:rsidRPr="00B712C7" w:rsidR="0057281C">
        <w:rPr>
          <w:rFonts w:ascii="Arial" w:hAnsi="Arial" w:eastAsia="MS Mincho" w:cs="Arial"/>
        </w:rPr>
        <w:t xml:space="preserve">ed relatively stable over time, though there was a slight decrease in </w:t>
      </w:r>
      <w:r w:rsidRPr="00B712C7" w:rsidR="00043F3E">
        <w:rPr>
          <w:rFonts w:ascii="Arial" w:hAnsi="Arial" w:eastAsia="MS Mincho" w:cs="Arial"/>
        </w:rPr>
        <w:t>the proportion that were recorded as having</w:t>
      </w:r>
      <w:r w:rsidRPr="00B712C7" w:rsidR="00110E83">
        <w:rPr>
          <w:rFonts w:ascii="Arial" w:hAnsi="Arial" w:eastAsia="MS Mincho" w:cs="Arial"/>
        </w:rPr>
        <w:t xml:space="preserve"> a partner</w:t>
      </w:r>
      <w:r w:rsidRPr="00B712C7" w:rsidR="002A5459">
        <w:rPr>
          <w:rFonts w:ascii="Arial" w:hAnsi="Arial" w:eastAsia="MS Mincho" w:cs="Arial"/>
        </w:rPr>
        <w:t xml:space="preserve">, which decreased </w:t>
      </w:r>
      <w:r w:rsidRPr="00B712C7" w:rsidR="00110E83">
        <w:rPr>
          <w:rFonts w:ascii="Arial" w:hAnsi="Arial" w:eastAsia="MS Mincho" w:cs="Arial"/>
        </w:rPr>
        <w:t xml:space="preserve">from 24.7% </w:t>
      </w:r>
      <w:r w:rsidRPr="00B712C7" w:rsidR="002A5459">
        <w:rPr>
          <w:rFonts w:ascii="Arial" w:hAnsi="Arial" w:eastAsia="MS Mincho" w:cs="Arial"/>
        </w:rPr>
        <w:t>(</w:t>
      </w:r>
      <w:r w:rsidRPr="00B712C7" w:rsidR="002A5459">
        <w:rPr>
          <w:rFonts w:ascii="Arial" w:hAnsi="Arial" w:eastAsia="MS Mincho" w:cs="Arial"/>
          <w:i/>
        </w:rPr>
        <w:t>n</w:t>
      </w:r>
      <w:r w:rsidRPr="00B712C7" w:rsidR="002A5459">
        <w:rPr>
          <w:rFonts w:ascii="Arial" w:hAnsi="Arial" w:eastAsia="MS Mincho" w:cs="Arial"/>
        </w:rPr>
        <w:t xml:space="preserve">=1,469) </w:t>
      </w:r>
      <w:r w:rsidRPr="00B712C7" w:rsidR="00110E83">
        <w:rPr>
          <w:rFonts w:ascii="Arial" w:hAnsi="Arial" w:eastAsia="MS Mincho" w:cs="Arial"/>
        </w:rPr>
        <w:t>to 20.0</w:t>
      </w:r>
      <w:r w:rsidRPr="00B712C7" w:rsidR="002A5459">
        <w:rPr>
          <w:rFonts w:ascii="Arial" w:hAnsi="Arial" w:eastAsia="MS Mincho" w:cs="Arial"/>
        </w:rPr>
        <w:t>% (</w:t>
      </w:r>
      <w:r w:rsidRPr="00B712C7" w:rsidR="002A5459">
        <w:rPr>
          <w:rFonts w:ascii="Arial" w:hAnsi="Arial" w:eastAsia="MS Mincho" w:cs="Arial"/>
          <w:i/>
        </w:rPr>
        <w:t>n</w:t>
      </w:r>
      <w:r w:rsidRPr="00B712C7" w:rsidR="002A5459">
        <w:rPr>
          <w:rFonts w:ascii="Arial" w:hAnsi="Arial" w:eastAsia="MS Mincho" w:cs="Arial"/>
        </w:rPr>
        <w:t>=1,801) over the ten year period</w:t>
      </w:r>
      <w:r w:rsidRPr="00B712C7" w:rsidR="00CC4728">
        <w:rPr>
          <w:rFonts w:ascii="Arial" w:hAnsi="Arial" w:eastAsia="MS Mincho" w:cs="Arial"/>
        </w:rPr>
        <w:t xml:space="preserve">. </w:t>
      </w:r>
    </w:p>
    <w:p w:rsidRPr="00B712C7" w:rsidR="00CC4728" w:rsidP="00CC4728" w:rsidRDefault="00CC4728" w14:paraId="6A14367E"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b/>
        </w:rPr>
      </w:pPr>
      <w:r w:rsidRPr="00B712C7">
        <w:rPr>
          <w:rFonts w:ascii="Arial" w:hAnsi="Arial" w:eastAsia="MS Mincho" w:cs="Arial"/>
          <w:b/>
        </w:rPr>
        <w:t>Characteristics of repeat offenders</w:t>
      </w:r>
    </w:p>
    <w:p w:rsidRPr="00B712C7" w:rsidR="00B21A2B" w:rsidP="00B21A2B" w:rsidRDefault="00C71C32" w14:paraId="247B6980" w14:textId="5DA9150D">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A</w:t>
      </w:r>
      <w:r w:rsidRPr="00B712C7" w:rsidR="008C7453">
        <w:rPr>
          <w:rFonts w:ascii="Arial" w:hAnsi="Arial" w:eastAsia="MS Mincho" w:cs="Arial"/>
        </w:rPr>
        <w:t>nalyses</w:t>
      </w:r>
      <w:r w:rsidRPr="00B712C7" w:rsidR="00B21A2B">
        <w:rPr>
          <w:rFonts w:ascii="Arial" w:hAnsi="Arial" w:eastAsia="MS Mincho" w:cs="Arial"/>
        </w:rPr>
        <w:t xml:space="preserve"> were conducted to determine whether there were </w:t>
      </w:r>
      <w:r w:rsidRPr="00B712C7" w:rsidR="0058005E">
        <w:rPr>
          <w:rFonts w:ascii="Arial" w:hAnsi="Arial" w:eastAsia="MS Mincho" w:cs="Arial"/>
        </w:rPr>
        <w:t xml:space="preserve">statistically </w:t>
      </w:r>
      <w:r w:rsidRPr="00B712C7" w:rsidR="00334ADA">
        <w:rPr>
          <w:rFonts w:ascii="Arial" w:hAnsi="Arial" w:eastAsia="MS Mincho" w:cs="Arial"/>
        </w:rPr>
        <w:t>significant associations</w:t>
      </w:r>
      <w:r w:rsidRPr="00B712C7" w:rsidR="0058005E">
        <w:rPr>
          <w:rFonts w:ascii="Arial" w:hAnsi="Arial" w:eastAsia="MS Mincho" w:cs="Arial"/>
        </w:rPr>
        <w:t xml:space="preserve"> </w:t>
      </w:r>
      <w:r w:rsidRPr="00B712C7" w:rsidR="00334ADA">
        <w:rPr>
          <w:rFonts w:ascii="Arial" w:hAnsi="Arial" w:eastAsia="MS Mincho" w:cs="Arial"/>
        </w:rPr>
        <w:t>between</w:t>
      </w:r>
      <w:r w:rsidRPr="00B712C7" w:rsidR="0058005E">
        <w:rPr>
          <w:rFonts w:ascii="Arial" w:hAnsi="Arial" w:eastAsia="MS Mincho" w:cs="Arial"/>
        </w:rPr>
        <w:t xml:space="preserve"> demographic characteristics</w:t>
      </w:r>
      <w:r w:rsidRPr="00B712C7" w:rsidR="00741D1D">
        <w:rPr>
          <w:rFonts w:ascii="Arial" w:hAnsi="Arial" w:eastAsia="MS Mincho" w:cs="Arial"/>
        </w:rPr>
        <w:t xml:space="preserve"> and whether an individual</w:t>
      </w:r>
      <w:r w:rsidRPr="00B712C7" w:rsidR="00334ADA">
        <w:rPr>
          <w:rFonts w:ascii="Arial" w:hAnsi="Arial" w:eastAsia="MS Mincho" w:cs="Arial"/>
        </w:rPr>
        <w:t xml:space="preserve"> </w:t>
      </w:r>
      <w:r w:rsidRPr="00B712C7" w:rsidR="009E4B30">
        <w:rPr>
          <w:rFonts w:ascii="Arial" w:hAnsi="Arial" w:eastAsia="MS Mincho" w:cs="Arial"/>
        </w:rPr>
        <w:t>was recorded for one or multiple</w:t>
      </w:r>
      <w:r w:rsidRPr="00B712C7" w:rsidR="0057281C">
        <w:rPr>
          <w:rFonts w:ascii="Arial" w:hAnsi="Arial" w:eastAsia="MS Mincho" w:cs="Arial"/>
        </w:rPr>
        <w:t xml:space="preserve"> drug use and possession</w:t>
      </w:r>
      <w:r w:rsidRPr="00B712C7" w:rsidR="009E4B30">
        <w:rPr>
          <w:rFonts w:ascii="Arial" w:hAnsi="Arial" w:eastAsia="MS Mincho" w:cs="Arial"/>
        </w:rPr>
        <w:t xml:space="preserve"> offence incidents over</w:t>
      </w:r>
      <w:r w:rsidRPr="00B712C7" w:rsidR="00334ADA">
        <w:rPr>
          <w:rFonts w:ascii="Arial" w:hAnsi="Arial" w:eastAsia="MS Mincho" w:cs="Arial"/>
        </w:rPr>
        <w:t xml:space="preserve"> the ten year period</w:t>
      </w:r>
      <w:r w:rsidRPr="00B712C7" w:rsidR="0058005E">
        <w:rPr>
          <w:rFonts w:ascii="Arial" w:hAnsi="Arial" w:eastAsia="MS Mincho" w:cs="Arial"/>
        </w:rPr>
        <w:t xml:space="preserve">. </w:t>
      </w:r>
      <w:r w:rsidRPr="00B712C7" w:rsidR="008C7453">
        <w:rPr>
          <w:rFonts w:ascii="Arial" w:hAnsi="Arial" w:eastAsia="MS Mincho" w:cs="Arial"/>
        </w:rPr>
        <w:t>The results</w:t>
      </w:r>
      <w:r w:rsidRPr="00B712C7" w:rsidR="00CC4728">
        <w:rPr>
          <w:rFonts w:ascii="Arial" w:hAnsi="Arial" w:eastAsia="MS Mincho" w:cs="Arial"/>
        </w:rPr>
        <w:t xml:space="preserve"> of these analyses are detaile</w:t>
      </w:r>
      <w:r w:rsidRPr="00B712C7" w:rsidR="001F770F">
        <w:rPr>
          <w:rFonts w:ascii="Arial" w:hAnsi="Arial" w:eastAsia="MS Mincho" w:cs="Arial"/>
        </w:rPr>
        <w:t>d in T</w:t>
      </w:r>
      <w:r w:rsidRPr="00B712C7" w:rsidR="00A91C65">
        <w:rPr>
          <w:rFonts w:ascii="Arial" w:hAnsi="Arial" w:eastAsia="MS Mincho" w:cs="Arial"/>
        </w:rPr>
        <w:t>able 4</w:t>
      </w:r>
      <w:r w:rsidRPr="00B712C7" w:rsidR="008C7453">
        <w:rPr>
          <w:rFonts w:ascii="Arial" w:hAnsi="Arial" w:eastAsia="MS Mincho" w:cs="Arial"/>
        </w:rPr>
        <w:t xml:space="preserve">. </w:t>
      </w:r>
      <w:r w:rsidRPr="00B712C7" w:rsidR="00334ADA">
        <w:rPr>
          <w:rFonts w:ascii="Arial" w:hAnsi="Arial" w:eastAsia="MS Mincho" w:cs="Arial"/>
        </w:rPr>
        <w:t xml:space="preserve">Significant relationships were found between </w:t>
      </w:r>
      <w:r w:rsidRPr="00B712C7" w:rsidR="00A91C65">
        <w:rPr>
          <w:rFonts w:ascii="Arial" w:hAnsi="Arial" w:eastAsia="MS Mincho" w:cs="Arial"/>
        </w:rPr>
        <w:t>r</w:t>
      </w:r>
      <w:r w:rsidRPr="00B712C7" w:rsidR="00334ADA">
        <w:rPr>
          <w:rFonts w:ascii="Arial" w:hAnsi="Arial" w:eastAsia="MS Mincho" w:cs="Arial"/>
        </w:rPr>
        <w:t>epeat offending and</w:t>
      </w:r>
      <w:r w:rsidRPr="00B712C7" w:rsidR="0082436F">
        <w:rPr>
          <w:rFonts w:ascii="Arial" w:hAnsi="Arial" w:eastAsia="MS Mincho" w:cs="Arial"/>
        </w:rPr>
        <w:t xml:space="preserve"> sex, age at first offence, employment status an</w:t>
      </w:r>
      <w:r w:rsidRPr="00B712C7" w:rsidR="00334ADA">
        <w:rPr>
          <w:rFonts w:ascii="Arial" w:hAnsi="Arial" w:eastAsia="MS Mincho" w:cs="Arial"/>
        </w:rPr>
        <w:t>d relationship status</w:t>
      </w:r>
      <w:r w:rsidRPr="00B712C7" w:rsidR="0082436F">
        <w:rPr>
          <w:rFonts w:ascii="Arial" w:hAnsi="Arial" w:eastAsia="MS Mincho" w:cs="Arial"/>
        </w:rPr>
        <w:t xml:space="preserve">. </w:t>
      </w:r>
      <w:r w:rsidRPr="00B712C7" w:rsidR="003F52EF">
        <w:rPr>
          <w:rFonts w:ascii="Arial" w:hAnsi="Arial" w:eastAsia="MS Mincho" w:cs="Arial"/>
        </w:rPr>
        <w:t>A</w:t>
      </w:r>
      <w:r w:rsidRPr="00B712C7" w:rsidR="0082436F">
        <w:rPr>
          <w:rFonts w:ascii="Arial" w:hAnsi="Arial" w:eastAsia="MS Mincho" w:cs="Arial"/>
        </w:rPr>
        <w:t xml:space="preserve">cross all of these factors the size of </w:t>
      </w:r>
      <w:r w:rsidRPr="00B712C7" w:rsidR="00334ADA">
        <w:rPr>
          <w:rFonts w:ascii="Arial" w:hAnsi="Arial" w:eastAsia="MS Mincho" w:cs="Arial"/>
        </w:rPr>
        <w:t xml:space="preserve">the associations between repeat offending </w:t>
      </w:r>
      <w:r w:rsidRPr="00B712C7" w:rsidR="00741D1D">
        <w:rPr>
          <w:rFonts w:ascii="Arial" w:hAnsi="Arial" w:eastAsia="MS Mincho" w:cs="Arial"/>
        </w:rPr>
        <w:t>and each demographic factor was</w:t>
      </w:r>
      <w:r w:rsidRPr="00B712C7" w:rsidR="003F52EF">
        <w:rPr>
          <w:rFonts w:ascii="Arial" w:hAnsi="Arial" w:eastAsia="MS Mincho" w:cs="Arial"/>
        </w:rPr>
        <w:t xml:space="preserve"> small, but</w:t>
      </w:r>
      <w:r w:rsidRPr="00B712C7" w:rsidR="0057281C">
        <w:rPr>
          <w:rFonts w:ascii="Arial" w:hAnsi="Arial" w:eastAsia="MS Mincho" w:cs="Arial"/>
        </w:rPr>
        <w:t xml:space="preserve"> statistically</w:t>
      </w:r>
      <w:r w:rsidRPr="00B712C7" w:rsidR="003F52EF">
        <w:rPr>
          <w:rFonts w:ascii="Arial" w:hAnsi="Arial" w:eastAsia="MS Mincho" w:cs="Arial"/>
        </w:rPr>
        <w:t xml:space="preserve"> significant.</w:t>
      </w:r>
    </w:p>
    <w:p w:rsidRPr="00B712C7" w:rsidR="00464981" w:rsidP="00E2029C" w:rsidRDefault="0057281C" w14:paraId="5A57C691" w14:textId="602745AE">
      <w:pPr>
        <w:widowControl w:val="false"/>
        <w:tabs>
          <w:tab w:val="left" w:pos="4395"/>
        </w:tabs>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R</w:t>
      </w:r>
      <w:r w:rsidRPr="00B712C7" w:rsidR="00756857">
        <w:rPr>
          <w:rFonts w:ascii="Arial" w:hAnsi="Arial" w:eastAsia="MS Mincho" w:cs="Arial"/>
        </w:rPr>
        <w:t>epeat offenders were</w:t>
      </w:r>
      <w:r w:rsidRPr="00B712C7" w:rsidR="0082436F">
        <w:rPr>
          <w:rFonts w:ascii="Arial" w:hAnsi="Arial" w:eastAsia="MS Mincho" w:cs="Arial"/>
        </w:rPr>
        <w:t xml:space="preserve"> more likely to be ma</w:t>
      </w:r>
      <w:r w:rsidRPr="00B712C7" w:rsidR="00756857">
        <w:rPr>
          <w:rFonts w:ascii="Arial" w:hAnsi="Arial" w:eastAsia="MS Mincho" w:cs="Arial"/>
        </w:rPr>
        <w:t>le than one-off offenders (84.7</w:t>
      </w:r>
      <w:r w:rsidRPr="00B712C7" w:rsidR="0082436F">
        <w:rPr>
          <w:rFonts w:ascii="Arial" w:hAnsi="Arial" w:eastAsia="MS Mincho" w:cs="Arial"/>
        </w:rPr>
        <w:t>%</w:t>
      </w:r>
      <w:r w:rsidRPr="00B712C7" w:rsidR="00756857">
        <w:rPr>
          <w:rFonts w:ascii="Arial" w:hAnsi="Arial" w:eastAsia="MS Mincho" w:cs="Arial"/>
        </w:rPr>
        <w:t xml:space="preserve"> or 15,900</w:t>
      </w:r>
      <w:r w:rsidRPr="00B712C7" w:rsidR="0082436F">
        <w:rPr>
          <w:rFonts w:ascii="Arial" w:hAnsi="Arial" w:eastAsia="MS Mincho" w:cs="Arial"/>
        </w:rPr>
        <w:t xml:space="preserve"> of repeat offenders were male</w:t>
      </w:r>
      <w:r w:rsidRPr="00B712C7" w:rsidR="00862ACA">
        <w:rPr>
          <w:rFonts w:ascii="Arial" w:hAnsi="Arial" w:eastAsia="MS Mincho" w:cs="Arial"/>
        </w:rPr>
        <w:t xml:space="preserve"> compared with 8</w:t>
      </w:r>
      <w:r w:rsidRPr="00B712C7" w:rsidR="00756857">
        <w:rPr>
          <w:rFonts w:ascii="Arial" w:hAnsi="Arial" w:eastAsia="MS Mincho" w:cs="Arial"/>
        </w:rPr>
        <w:t>0.4</w:t>
      </w:r>
      <w:r w:rsidRPr="00B712C7" w:rsidR="0082436F">
        <w:rPr>
          <w:rFonts w:ascii="Arial" w:hAnsi="Arial" w:eastAsia="MS Mincho" w:cs="Arial"/>
        </w:rPr>
        <w:t xml:space="preserve">% </w:t>
      </w:r>
      <w:r w:rsidRPr="00B712C7" w:rsidR="00756857">
        <w:rPr>
          <w:rFonts w:ascii="Arial" w:hAnsi="Arial" w:eastAsia="MS Mincho" w:cs="Arial"/>
        </w:rPr>
        <w:t>or 38,024</w:t>
      </w:r>
      <w:r w:rsidRPr="00B712C7" w:rsidR="00334ADA">
        <w:rPr>
          <w:rFonts w:ascii="Arial" w:hAnsi="Arial" w:eastAsia="MS Mincho" w:cs="Arial"/>
        </w:rPr>
        <w:t xml:space="preserve"> </w:t>
      </w:r>
      <w:r w:rsidRPr="00B712C7" w:rsidR="0082436F">
        <w:rPr>
          <w:rFonts w:ascii="Arial" w:hAnsi="Arial" w:eastAsia="MS Mincho" w:cs="Arial"/>
        </w:rPr>
        <w:t xml:space="preserve">of one-off offenders). </w:t>
      </w:r>
      <w:r w:rsidRPr="00B712C7" w:rsidR="00BD0ECF">
        <w:rPr>
          <w:rFonts w:ascii="Arial" w:hAnsi="Arial" w:eastAsia="MS Mincho" w:cs="Arial"/>
        </w:rPr>
        <w:t xml:space="preserve">At the time of their first recorded offence in the data set, repeat offenders were more likely to be aged </w:t>
      </w:r>
      <w:r w:rsidRPr="00B712C7" w:rsidR="00464981">
        <w:rPr>
          <w:rFonts w:ascii="Arial" w:hAnsi="Arial" w:eastAsia="MS Mincho" w:cs="Arial"/>
        </w:rPr>
        <w:t>10 to 14 (1.4% or 270 repeat offenders compared with 1.2% or 540 one-off offenders), 15 to 19 (21.1% or 3,952</w:t>
      </w:r>
      <w:r w:rsidRPr="00B712C7" w:rsidR="00BD0ECF">
        <w:rPr>
          <w:rFonts w:ascii="Arial" w:hAnsi="Arial" w:eastAsia="MS Mincho" w:cs="Arial"/>
        </w:rPr>
        <w:t xml:space="preserve"> rep</w:t>
      </w:r>
      <w:r w:rsidRPr="00B712C7" w:rsidR="00464981">
        <w:rPr>
          <w:rFonts w:ascii="Arial" w:hAnsi="Arial" w:eastAsia="MS Mincho" w:cs="Arial"/>
        </w:rPr>
        <w:t>eat offenders compared with 19.0% or 8,911</w:t>
      </w:r>
      <w:r w:rsidRPr="00B712C7" w:rsidR="00BD0ECF">
        <w:rPr>
          <w:rFonts w:ascii="Arial" w:hAnsi="Arial" w:eastAsia="MS Mincho" w:cs="Arial"/>
        </w:rPr>
        <w:t xml:space="preserve"> one-off offenders), </w:t>
      </w:r>
      <w:r w:rsidRPr="00B712C7" w:rsidR="001F770F">
        <w:rPr>
          <w:rFonts w:ascii="Arial" w:hAnsi="Arial" w:eastAsia="MS Mincho" w:cs="Arial"/>
        </w:rPr>
        <w:t>25 to 29 (18.1% or 3,</w:t>
      </w:r>
      <w:r w:rsidRPr="00B712C7" w:rsidR="00464981">
        <w:rPr>
          <w:rFonts w:ascii="Arial" w:hAnsi="Arial" w:eastAsia="MS Mincho" w:cs="Arial"/>
        </w:rPr>
        <w:t>391</w:t>
      </w:r>
      <w:r w:rsidRPr="00B712C7" w:rsidR="001F770F">
        <w:rPr>
          <w:rFonts w:ascii="Arial" w:hAnsi="Arial" w:eastAsia="MS Mincho" w:cs="Arial"/>
        </w:rPr>
        <w:t xml:space="preserve"> rep</w:t>
      </w:r>
      <w:r w:rsidRPr="00B712C7" w:rsidR="00464981">
        <w:rPr>
          <w:rFonts w:ascii="Arial" w:hAnsi="Arial" w:eastAsia="MS Mincho" w:cs="Arial"/>
        </w:rPr>
        <w:t>eat offenders compared with 16.7% or 7,832</w:t>
      </w:r>
      <w:r w:rsidRPr="00B712C7" w:rsidR="001F770F">
        <w:rPr>
          <w:rFonts w:ascii="Arial" w:hAnsi="Arial" w:eastAsia="MS Mincho" w:cs="Arial"/>
        </w:rPr>
        <w:t xml:space="preserve"> one-off offenders), </w:t>
      </w:r>
      <w:r w:rsidRPr="00B712C7" w:rsidR="00464981">
        <w:rPr>
          <w:rFonts w:ascii="Arial" w:hAnsi="Arial" w:eastAsia="MS Mincho" w:cs="Arial"/>
        </w:rPr>
        <w:t xml:space="preserve">or </w:t>
      </w:r>
      <w:r w:rsidRPr="00B712C7" w:rsidR="00651DCB">
        <w:rPr>
          <w:rFonts w:ascii="Arial" w:hAnsi="Arial" w:eastAsia="MS Mincho" w:cs="Arial"/>
        </w:rPr>
        <w:t>30 to 34 (13.8% or 2,573</w:t>
      </w:r>
      <w:r w:rsidRPr="00B712C7" w:rsidR="001F770F">
        <w:rPr>
          <w:rFonts w:ascii="Arial" w:hAnsi="Arial" w:eastAsia="MS Mincho" w:cs="Arial"/>
        </w:rPr>
        <w:t xml:space="preserve"> repeat offenders compared with 12.2 </w:t>
      </w:r>
      <w:r w:rsidRPr="00B712C7" w:rsidR="00651DCB">
        <w:rPr>
          <w:rFonts w:ascii="Arial" w:hAnsi="Arial" w:eastAsia="MS Mincho" w:cs="Arial"/>
        </w:rPr>
        <w:t>or 5,749</w:t>
      </w:r>
      <w:r w:rsidRPr="00B712C7" w:rsidR="00464981">
        <w:rPr>
          <w:rFonts w:ascii="Arial" w:hAnsi="Arial" w:eastAsia="MS Mincho" w:cs="Arial"/>
        </w:rPr>
        <w:t xml:space="preserve"> one-off offenders).</w:t>
      </w:r>
      <w:r w:rsidRPr="00B712C7" w:rsidR="00651DCB">
        <w:rPr>
          <w:rFonts w:ascii="Arial" w:hAnsi="Arial" w:eastAsia="MS Mincho" w:cs="Arial"/>
        </w:rPr>
        <w:t xml:space="preserve"> On the other hand, one-off offenders were more likely to fall between the ages of 20 and 24 at the time of their first offence (26.7% or 12,557 one-off offenders compared with 25.0 or 4,686 repeat offenders), or in an age category of 40 years or older.</w:t>
      </w:r>
    </w:p>
    <w:p w:rsidRPr="00B712C7" w:rsidR="00DB4DE2" w:rsidP="00B21A2B" w:rsidRDefault="007E13AD" w14:paraId="4B4982F7" w14:textId="34886036">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Further, repeat offenders</w:t>
      </w:r>
      <w:r w:rsidRPr="00B712C7" w:rsidR="00145B6F">
        <w:rPr>
          <w:rFonts w:ascii="Arial" w:hAnsi="Arial" w:eastAsia="MS Mincho" w:cs="Arial"/>
        </w:rPr>
        <w:t xml:space="preserve"> were more likely to be employed</w:t>
      </w:r>
      <w:r w:rsidRPr="00B712C7" w:rsidR="00651DCB">
        <w:rPr>
          <w:rFonts w:ascii="Arial" w:hAnsi="Arial" w:eastAsia="MS Mincho" w:cs="Arial"/>
        </w:rPr>
        <w:t xml:space="preserve"> (55.6% or 9,800</w:t>
      </w:r>
      <w:r w:rsidRPr="00B712C7" w:rsidR="00BD0ECF">
        <w:rPr>
          <w:rFonts w:ascii="Arial" w:hAnsi="Arial" w:eastAsia="MS Mincho" w:cs="Arial"/>
        </w:rPr>
        <w:t xml:space="preserve"> rep</w:t>
      </w:r>
      <w:r w:rsidRPr="00B712C7" w:rsidR="00651DCB">
        <w:rPr>
          <w:rFonts w:ascii="Arial" w:hAnsi="Arial" w:eastAsia="MS Mincho" w:cs="Arial"/>
        </w:rPr>
        <w:t>eat offenders compared with 53.1% or 19,010</w:t>
      </w:r>
      <w:r w:rsidRPr="00B712C7" w:rsidR="00BD0ECF">
        <w:rPr>
          <w:rFonts w:ascii="Arial" w:hAnsi="Arial" w:eastAsia="MS Mincho" w:cs="Arial"/>
        </w:rPr>
        <w:t xml:space="preserve"> one-off offenders),</w:t>
      </w:r>
      <w:r w:rsidRPr="00B712C7" w:rsidR="00145B6F">
        <w:rPr>
          <w:rFonts w:ascii="Arial" w:hAnsi="Arial" w:eastAsia="MS Mincho" w:cs="Arial"/>
        </w:rPr>
        <w:t xml:space="preserve"> or unemployed</w:t>
      </w:r>
      <w:r w:rsidRPr="00B712C7" w:rsidR="00651DCB">
        <w:rPr>
          <w:rFonts w:ascii="Arial" w:hAnsi="Arial" w:eastAsia="MS Mincho" w:cs="Arial"/>
        </w:rPr>
        <w:t xml:space="preserve"> (39.6% or 6,989</w:t>
      </w:r>
      <w:r w:rsidRPr="00B712C7" w:rsidR="00BD0ECF">
        <w:rPr>
          <w:rFonts w:ascii="Arial" w:hAnsi="Arial" w:eastAsia="MS Mincho" w:cs="Arial"/>
        </w:rPr>
        <w:t xml:space="preserve"> rep</w:t>
      </w:r>
      <w:r w:rsidRPr="00B712C7" w:rsidR="00651DCB">
        <w:rPr>
          <w:rFonts w:ascii="Arial" w:hAnsi="Arial" w:eastAsia="MS Mincho" w:cs="Arial"/>
        </w:rPr>
        <w:t>eat offenders compared with 33.9% or 12,150</w:t>
      </w:r>
      <w:r w:rsidRPr="00B712C7" w:rsidR="00BD0ECF">
        <w:rPr>
          <w:rFonts w:ascii="Arial" w:hAnsi="Arial" w:eastAsia="MS Mincho" w:cs="Arial"/>
        </w:rPr>
        <w:t xml:space="preserve"> one-off offenders)</w:t>
      </w:r>
      <w:r w:rsidRPr="00B712C7" w:rsidR="00145B6F">
        <w:rPr>
          <w:rFonts w:ascii="Arial" w:hAnsi="Arial" w:eastAsia="MS Mincho" w:cs="Arial"/>
        </w:rPr>
        <w:t>, while one-off offenders were more likely to be students</w:t>
      </w:r>
      <w:r w:rsidRPr="00B712C7" w:rsidR="00BD0ECF">
        <w:rPr>
          <w:rFonts w:ascii="Arial" w:hAnsi="Arial" w:eastAsia="MS Mincho" w:cs="Arial"/>
        </w:rPr>
        <w:t xml:space="preserve"> (</w:t>
      </w:r>
      <w:r w:rsidRPr="00B712C7" w:rsidR="00651DCB">
        <w:rPr>
          <w:rFonts w:ascii="Arial" w:hAnsi="Arial" w:eastAsia="MS Mincho" w:cs="Arial"/>
        </w:rPr>
        <w:t>13.0% or 4,639</w:t>
      </w:r>
      <w:r w:rsidRPr="00B712C7" w:rsidR="00FA44C3">
        <w:rPr>
          <w:rFonts w:ascii="Arial" w:hAnsi="Arial" w:eastAsia="MS Mincho" w:cs="Arial"/>
        </w:rPr>
        <w:t xml:space="preserve"> of one</w:t>
      </w:r>
      <w:r w:rsidRPr="00B712C7" w:rsidR="00C10DFE">
        <w:rPr>
          <w:rFonts w:ascii="Arial" w:hAnsi="Arial" w:eastAsia="MS Mincho" w:cs="Arial"/>
        </w:rPr>
        <w:t>-off off</w:t>
      </w:r>
      <w:r w:rsidRPr="00B712C7" w:rsidR="00651DCB">
        <w:rPr>
          <w:rFonts w:ascii="Arial" w:hAnsi="Arial" w:eastAsia="MS Mincho" w:cs="Arial"/>
        </w:rPr>
        <w:t>enders compared with 4.8% or 852</w:t>
      </w:r>
      <w:r w:rsidRPr="00B712C7" w:rsidR="00FA44C3">
        <w:rPr>
          <w:rFonts w:ascii="Arial" w:hAnsi="Arial" w:eastAsia="MS Mincho" w:cs="Arial"/>
        </w:rPr>
        <w:t xml:space="preserve"> of repeat offenders)</w:t>
      </w:r>
      <w:r w:rsidRPr="00B712C7" w:rsidR="00145B6F">
        <w:rPr>
          <w:rFonts w:ascii="Arial" w:hAnsi="Arial" w:eastAsia="MS Mincho" w:cs="Arial"/>
        </w:rPr>
        <w:t xml:space="preserve">. </w:t>
      </w:r>
      <w:r w:rsidRPr="00B712C7" w:rsidR="00651DCB">
        <w:rPr>
          <w:rFonts w:ascii="Arial" w:hAnsi="Arial" w:eastAsia="MS Mincho" w:cs="Arial"/>
        </w:rPr>
        <w:t>The results in Table 4 show t</w:t>
      </w:r>
      <w:r w:rsidRPr="00B712C7" w:rsidR="0057281C">
        <w:rPr>
          <w:rFonts w:ascii="Arial" w:hAnsi="Arial" w:eastAsia="MS Mincho" w:cs="Arial"/>
        </w:rPr>
        <w:t>hat repeat offenders</w:t>
      </w:r>
      <w:r w:rsidRPr="00B712C7" w:rsidR="00145B6F">
        <w:rPr>
          <w:rFonts w:ascii="Arial" w:hAnsi="Arial" w:eastAsia="MS Mincho" w:cs="Arial"/>
        </w:rPr>
        <w:t xml:space="preserve"> were also</w:t>
      </w:r>
      <w:r w:rsidRPr="00B712C7" w:rsidR="00C10DFE">
        <w:rPr>
          <w:rFonts w:ascii="Arial" w:hAnsi="Arial" w:eastAsia="MS Mincho" w:cs="Arial"/>
        </w:rPr>
        <w:t xml:space="preserve"> very</w:t>
      </w:r>
      <w:r w:rsidRPr="00B712C7" w:rsidR="00145B6F">
        <w:rPr>
          <w:rFonts w:ascii="Arial" w:hAnsi="Arial" w:eastAsia="MS Mincho" w:cs="Arial"/>
        </w:rPr>
        <w:t xml:space="preserve"> slightly more likely to say they had a partner</w:t>
      </w:r>
      <w:r w:rsidRPr="00B712C7" w:rsidR="00FA44C3">
        <w:rPr>
          <w:rFonts w:ascii="Arial" w:hAnsi="Arial" w:eastAsia="MS Mincho" w:cs="Arial"/>
        </w:rPr>
        <w:t xml:space="preserve"> </w:t>
      </w:r>
      <w:r w:rsidRPr="00B712C7" w:rsidR="00145B6F">
        <w:rPr>
          <w:rFonts w:ascii="Arial" w:hAnsi="Arial" w:eastAsia="MS Mincho" w:cs="Arial"/>
        </w:rPr>
        <w:t>whereas one-off offenders were more likely to say they were single</w:t>
      </w:r>
      <w:r w:rsidRPr="00B712C7" w:rsidR="00C10DFE">
        <w:rPr>
          <w:rFonts w:ascii="Arial" w:hAnsi="Arial" w:eastAsia="MS Mincho" w:cs="Arial"/>
        </w:rPr>
        <w:t>.</w:t>
      </w:r>
      <w:r w:rsidRPr="00B712C7" w:rsidR="00FA44C3">
        <w:rPr>
          <w:rFonts w:ascii="Arial" w:hAnsi="Arial" w:eastAsia="MS Mincho" w:cs="Arial"/>
        </w:rPr>
        <w:t xml:space="preserve"> </w:t>
      </w:r>
      <w:r w:rsidRPr="00B712C7" w:rsidR="0057281C">
        <w:rPr>
          <w:rFonts w:ascii="Arial" w:hAnsi="Arial" w:eastAsia="MS Mincho" w:cs="Arial"/>
        </w:rPr>
        <w:t>Given the slightly younger age profile of one-off offenders, t</w:t>
      </w:r>
      <w:r w:rsidRPr="00B712C7" w:rsidR="00145B6F">
        <w:rPr>
          <w:rFonts w:ascii="Arial" w:hAnsi="Arial" w:eastAsia="MS Mincho" w:cs="Arial"/>
        </w:rPr>
        <w:t xml:space="preserve">hese </w:t>
      </w:r>
      <w:r w:rsidRPr="00B712C7" w:rsidR="00651DCB">
        <w:rPr>
          <w:rFonts w:ascii="Arial" w:hAnsi="Arial" w:eastAsia="MS Mincho" w:cs="Arial"/>
        </w:rPr>
        <w:t xml:space="preserve">findings </w:t>
      </w:r>
      <w:r w:rsidRPr="00B712C7" w:rsidR="00145B6F">
        <w:rPr>
          <w:rFonts w:ascii="Arial" w:hAnsi="Arial" w:eastAsia="MS Mincho" w:cs="Arial"/>
        </w:rPr>
        <w:t xml:space="preserve">may be reflective of the </w:t>
      </w:r>
      <w:r w:rsidRPr="00B712C7" w:rsidR="0057281C">
        <w:rPr>
          <w:rFonts w:ascii="Arial" w:hAnsi="Arial" w:eastAsia="MS Mincho" w:cs="Arial"/>
        </w:rPr>
        <w:t xml:space="preserve">life circumstances of younger people. </w:t>
      </w:r>
    </w:p>
    <w:p w:rsidR="00A06EEC" w:rsidP="00B21A2B" w:rsidRDefault="00A06EEC" w14:paraId="6ED28DBC"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p>
    <w:p w:rsidR="00A06EEC" w:rsidP="00B21A2B" w:rsidRDefault="00A06EEC" w14:paraId="1A52516F" w14:textId="77777777">
      <w:pPr>
        <w:widowControl w:val="false"/>
        <w:suppressAutoHyphens/>
        <w:autoSpaceDE w:val="false"/>
        <w:autoSpaceDN w:val="false"/>
        <w:adjustRightInd w:val="false"/>
        <w:spacing w:before="170" w:after="57" w:line="300" w:lineRule="atLeast"/>
        <w:textAlignment w:val="center"/>
        <w:outlineLvl w:val="2"/>
        <w:rPr>
          <w:rFonts w:ascii="Arial" w:hAnsi="Arial" w:cs="Arial"/>
        </w:rPr>
      </w:pPr>
    </w:p>
    <w:p w:rsidRPr="00B712C7" w:rsidR="00B21A2B" w:rsidP="00B21A2B" w:rsidRDefault="00A91C65" w14:paraId="4168FD1A" w14:textId="21D14ACF">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cs="Arial"/>
        </w:rPr>
        <w:lastRenderedPageBreak/>
        <w:t>Table 4</w:t>
      </w:r>
      <w:r w:rsidRPr="00B712C7" w:rsidR="008C7453">
        <w:rPr>
          <w:rFonts w:ascii="Arial" w:hAnsi="Arial" w:cs="Arial"/>
        </w:rPr>
        <w:t>: Characteristics of one-off and repeat offenders</w:t>
      </w:r>
    </w:p>
    <w:tbl>
      <w:tblPr>
        <w:tblStyle w:val="TableGrid"/>
        <w:tblW w:w="0" w:type="auto"/>
        <w:tblLook w:firstRow="1" w:lastRow="0" w:firstColumn="1" w:lastColumn="0" w:noHBand="0" w:noVBand="1" w:val="04A0"/>
      </w:tblPr>
      <w:tblGrid>
        <w:gridCol w:w="2468"/>
        <w:gridCol w:w="1442"/>
        <w:gridCol w:w="1435"/>
        <w:gridCol w:w="1442"/>
        <w:gridCol w:w="1435"/>
        <w:gridCol w:w="1395"/>
      </w:tblGrid>
      <w:tr w:rsidRPr="00B712C7" w:rsidR="00F67154" w:rsidTr="00794910" w14:paraId="60590D03" w14:textId="77777777">
        <w:tc>
          <w:tcPr>
            <w:tcW w:w="2508" w:type="dxa"/>
            <w:tcBorders>
              <w:left w:val="nil"/>
              <w:bottom w:val="nil"/>
              <w:right w:val="nil"/>
            </w:tcBorders>
            <w:shd w:val="clear" w:color="auto" w:fill="881E76"/>
          </w:tcPr>
          <w:p w:rsidRPr="00B712C7" w:rsidR="00F67154" w:rsidP="00DB4DE2" w:rsidRDefault="00F67154" w14:paraId="73C29F84" w14:textId="77777777">
            <w:pPr>
              <w:pStyle w:val="BodyText"/>
              <w:jc w:val="center"/>
              <w:rPr>
                <w:rFonts w:ascii="Arial" w:hAnsi="Arial" w:cs="Arial"/>
                <w:b/>
                <w:color w:val="FFFFFF" w:themeColor="background1"/>
                <w:sz w:val="20"/>
                <w:szCs w:val="20"/>
              </w:rPr>
            </w:pPr>
          </w:p>
        </w:tc>
        <w:tc>
          <w:tcPr>
            <w:tcW w:w="2928" w:type="dxa"/>
            <w:gridSpan w:val="2"/>
            <w:tcBorders>
              <w:left w:val="nil"/>
              <w:bottom w:val="nil"/>
              <w:right w:val="nil"/>
            </w:tcBorders>
            <w:shd w:val="clear" w:color="auto" w:fill="881E76"/>
            <w:vAlign w:val="center"/>
          </w:tcPr>
          <w:p w:rsidRPr="00B712C7" w:rsidR="00F67154" w:rsidP="00DB4DE2" w:rsidRDefault="00544CF2" w14:paraId="0C6E7953" w14:textId="107785AD">
            <w:pPr>
              <w:pStyle w:val="BodyText"/>
              <w:jc w:val="center"/>
              <w:rPr>
                <w:rFonts w:ascii="Arial" w:hAnsi="Arial" w:cs="Arial"/>
                <w:b/>
                <w:color w:val="FFFFFF" w:themeColor="background1"/>
                <w:sz w:val="20"/>
                <w:szCs w:val="20"/>
              </w:rPr>
            </w:pPr>
            <w:r w:rsidRPr="00B712C7">
              <w:rPr>
                <w:rFonts w:ascii="Arial" w:hAnsi="Arial" w:cs="Arial"/>
                <w:b/>
                <w:color w:val="FFFFFF" w:themeColor="background1"/>
                <w:sz w:val="20"/>
                <w:szCs w:val="20"/>
              </w:rPr>
              <w:t>One-off offenders</w:t>
            </w:r>
          </w:p>
        </w:tc>
        <w:tc>
          <w:tcPr>
            <w:tcW w:w="2928" w:type="dxa"/>
            <w:gridSpan w:val="2"/>
            <w:tcBorders>
              <w:left w:val="nil"/>
              <w:bottom w:val="nil"/>
              <w:right w:val="nil"/>
            </w:tcBorders>
            <w:shd w:val="clear" w:color="auto" w:fill="881E76"/>
            <w:vAlign w:val="center"/>
          </w:tcPr>
          <w:p w:rsidRPr="00B712C7" w:rsidR="00F67154" w:rsidP="00DB4DE2" w:rsidRDefault="00544CF2" w14:paraId="05312E10" w14:textId="77777777">
            <w:pPr>
              <w:pStyle w:val="BodyText"/>
              <w:jc w:val="center"/>
              <w:rPr>
                <w:rFonts w:ascii="Arial" w:hAnsi="Arial" w:cs="Arial"/>
                <w:b/>
                <w:color w:val="FFFFFF" w:themeColor="background1"/>
                <w:sz w:val="20"/>
                <w:szCs w:val="20"/>
              </w:rPr>
            </w:pPr>
            <w:r w:rsidRPr="00B712C7">
              <w:rPr>
                <w:rFonts w:ascii="Arial" w:hAnsi="Arial" w:cs="Arial"/>
                <w:b/>
                <w:color w:val="FFFFFF" w:themeColor="background1"/>
                <w:sz w:val="20"/>
                <w:szCs w:val="20"/>
              </w:rPr>
              <w:t>Repeat o</w:t>
            </w:r>
            <w:r w:rsidRPr="00B712C7" w:rsidR="00F67154">
              <w:rPr>
                <w:rFonts w:ascii="Arial" w:hAnsi="Arial" w:cs="Arial"/>
                <w:b/>
                <w:color w:val="FFFFFF" w:themeColor="background1"/>
                <w:sz w:val="20"/>
                <w:szCs w:val="20"/>
              </w:rPr>
              <w:t>ffenders</w:t>
            </w:r>
          </w:p>
        </w:tc>
        <w:tc>
          <w:tcPr>
            <w:tcW w:w="1253" w:type="dxa"/>
            <w:tcBorders>
              <w:left w:val="nil"/>
              <w:bottom w:val="nil"/>
              <w:right w:val="nil"/>
            </w:tcBorders>
            <w:shd w:val="clear" w:color="auto" w:fill="881E76"/>
          </w:tcPr>
          <w:p w:rsidRPr="00B712C7" w:rsidR="00F67154" w:rsidP="00DB4DE2" w:rsidRDefault="00F67154" w14:paraId="4AC0C52C" w14:textId="77777777">
            <w:pPr>
              <w:pStyle w:val="BodyText"/>
              <w:jc w:val="center"/>
              <w:rPr>
                <w:rFonts w:ascii="Arial" w:hAnsi="Arial" w:cs="Arial"/>
                <w:b/>
                <w:color w:val="FFFFFF" w:themeColor="background1"/>
                <w:sz w:val="20"/>
                <w:szCs w:val="20"/>
              </w:rPr>
            </w:pPr>
            <w:r w:rsidRPr="00B712C7">
              <w:rPr>
                <w:rFonts w:ascii="Arial" w:hAnsi="Arial" w:cs="Arial"/>
                <w:b/>
                <w:color w:val="FFFFFF" w:themeColor="background1"/>
                <w:sz w:val="20"/>
                <w:szCs w:val="20"/>
              </w:rPr>
              <w:t>Significance</w:t>
            </w:r>
          </w:p>
        </w:tc>
      </w:tr>
      <w:tr w:rsidRPr="00B712C7" w:rsidR="00F67154" w:rsidTr="00794910" w14:paraId="0C615FB2" w14:textId="77777777">
        <w:tc>
          <w:tcPr>
            <w:tcW w:w="2508" w:type="dxa"/>
            <w:tcBorders>
              <w:top w:val="nil"/>
              <w:left w:val="nil"/>
              <w:bottom w:val="single" w:color="auto" w:sz="4" w:space="0"/>
              <w:right w:val="nil"/>
            </w:tcBorders>
            <w:shd w:val="clear" w:color="auto" w:fill="881E76"/>
          </w:tcPr>
          <w:p w:rsidRPr="00B712C7" w:rsidR="00F67154" w:rsidP="00DB4DE2" w:rsidRDefault="00F67154" w14:paraId="535518BC" w14:textId="77777777">
            <w:pPr>
              <w:pStyle w:val="BodyText"/>
              <w:jc w:val="center"/>
              <w:rPr>
                <w:rFonts w:ascii="Arial" w:hAnsi="Arial" w:cs="Arial"/>
                <w:b/>
                <w:color w:val="FFFFFF" w:themeColor="background1"/>
                <w:sz w:val="20"/>
                <w:szCs w:val="20"/>
              </w:rPr>
            </w:pPr>
          </w:p>
        </w:tc>
        <w:tc>
          <w:tcPr>
            <w:tcW w:w="1464" w:type="dxa"/>
            <w:tcBorders>
              <w:top w:val="nil"/>
              <w:left w:val="nil"/>
              <w:bottom w:val="single" w:color="auto" w:sz="4" w:space="0"/>
              <w:right w:val="nil"/>
            </w:tcBorders>
            <w:shd w:val="clear" w:color="auto" w:fill="881E76"/>
            <w:vAlign w:val="center"/>
          </w:tcPr>
          <w:p w:rsidRPr="00B712C7" w:rsidR="00F67154" w:rsidP="00DB4DE2" w:rsidRDefault="00794910" w14:paraId="02A2CCAD" w14:textId="77777777">
            <w:pPr>
              <w:pStyle w:val="BodyText"/>
              <w:jc w:val="center"/>
              <w:rPr>
                <w:rFonts w:ascii="Arial" w:hAnsi="Arial" w:cs="Arial"/>
                <w:b/>
                <w:i/>
                <w:color w:val="FFFFFF" w:themeColor="background1"/>
                <w:sz w:val="20"/>
                <w:szCs w:val="20"/>
              </w:rPr>
            </w:pPr>
            <w:r w:rsidRPr="00B712C7">
              <w:rPr>
                <w:rFonts w:ascii="Arial" w:hAnsi="Arial" w:cs="Arial"/>
                <w:b/>
                <w:i/>
                <w:color w:val="FFFFFF" w:themeColor="background1"/>
                <w:sz w:val="20"/>
                <w:szCs w:val="20"/>
              </w:rPr>
              <w:t>n</w:t>
            </w:r>
          </w:p>
        </w:tc>
        <w:tc>
          <w:tcPr>
            <w:tcW w:w="1464" w:type="dxa"/>
            <w:tcBorders>
              <w:top w:val="nil"/>
              <w:left w:val="nil"/>
              <w:bottom w:val="single" w:color="auto" w:sz="4" w:space="0"/>
              <w:right w:val="nil"/>
            </w:tcBorders>
            <w:shd w:val="clear" w:color="auto" w:fill="881E76"/>
            <w:vAlign w:val="center"/>
          </w:tcPr>
          <w:p w:rsidRPr="00B712C7" w:rsidR="00F67154" w:rsidP="00DB4DE2" w:rsidRDefault="00F67154" w14:paraId="3A92BD4C" w14:textId="77777777">
            <w:pPr>
              <w:pStyle w:val="BodyText"/>
              <w:jc w:val="center"/>
              <w:rPr>
                <w:rFonts w:ascii="Arial" w:hAnsi="Arial" w:cs="Arial"/>
                <w:b/>
                <w:color w:val="FFFFFF" w:themeColor="background1"/>
                <w:sz w:val="20"/>
                <w:szCs w:val="20"/>
              </w:rPr>
            </w:pPr>
            <w:r w:rsidRPr="00B712C7">
              <w:rPr>
                <w:rFonts w:ascii="Arial" w:hAnsi="Arial" w:cs="Arial"/>
                <w:b/>
                <w:color w:val="FFFFFF" w:themeColor="background1"/>
                <w:sz w:val="20"/>
                <w:szCs w:val="20"/>
              </w:rPr>
              <w:t>%</w:t>
            </w:r>
          </w:p>
        </w:tc>
        <w:tc>
          <w:tcPr>
            <w:tcW w:w="1464" w:type="dxa"/>
            <w:tcBorders>
              <w:top w:val="nil"/>
              <w:left w:val="nil"/>
              <w:bottom w:val="single" w:color="auto" w:sz="4" w:space="0"/>
              <w:right w:val="nil"/>
            </w:tcBorders>
            <w:shd w:val="clear" w:color="auto" w:fill="881E76"/>
            <w:vAlign w:val="center"/>
          </w:tcPr>
          <w:p w:rsidRPr="00B712C7" w:rsidR="00F67154" w:rsidP="00DB4DE2" w:rsidRDefault="00A41671" w14:paraId="2A74EC26" w14:textId="77777777">
            <w:pPr>
              <w:pStyle w:val="BodyText"/>
              <w:jc w:val="center"/>
              <w:rPr>
                <w:rFonts w:ascii="Arial" w:hAnsi="Arial" w:cs="Arial"/>
                <w:b/>
                <w:i/>
                <w:color w:val="FFFFFF" w:themeColor="background1"/>
                <w:sz w:val="20"/>
                <w:szCs w:val="20"/>
              </w:rPr>
            </w:pPr>
            <w:r w:rsidRPr="00B712C7">
              <w:rPr>
                <w:rFonts w:ascii="Arial" w:hAnsi="Arial" w:cs="Arial"/>
                <w:b/>
                <w:i/>
                <w:color w:val="FFFFFF" w:themeColor="background1"/>
                <w:sz w:val="20"/>
                <w:szCs w:val="20"/>
              </w:rPr>
              <w:t>n</w:t>
            </w:r>
          </w:p>
        </w:tc>
        <w:tc>
          <w:tcPr>
            <w:tcW w:w="1464" w:type="dxa"/>
            <w:tcBorders>
              <w:top w:val="nil"/>
              <w:left w:val="nil"/>
              <w:bottom w:val="single" w:color="auto" w:sz="4" w:space="0"/>
              <w:right w:val="nil"/>
            </w:tcBorders>
            <w:shd w:val="clear" w:color="auto" w:fill="881E76"/>
            <w:vAlign w:val="center"/>
          </w:tcPr>
          <w:p w:rsidRPr="00B712C7" w:rsidR="00F67154" w:rsidP="00DB4DE2" w:rsidRDefault="00F67154" w14:paraId="6294289F" w14:textId="77777777">
            <w:pPr>
              <w:pStyle w:val="BodyText"/>
              <w:jc w:val="center"/>
              <w:rPr>
                <w:rFonts w:ascii="Arial" w:hAnsi="Arial" w:cs="Arial"/>
                <w:b/>
                <w:color w:val="FFFFFF" w:themeColor="background1"/>
                <w:sz w:val="20"/>
                <w:szCs w:val="20"/>
              </w:rPr>
            </w:pPr>
            <w:r w:rsidRPr="00B712C7">
              <w:rPr>
                <w:rFonts w:ascii="Arial" w:hAnsi="Arial" w:cs="Arial"/>
                <w:b/>
                <w:color w:val="FFFFFF" w:themeColor="background1"/>
                <w:sz w:val="20"/>
                <w:szCs w:val="20"/>
              </w:rPr>
              <w:t>%</w:t>
            </w:r>
          </w:p>
        </w:tc>
        <w:tc>
          <w:tcPr>
            <w:tcW w:w="1253" w:type="dxa"/>
            <w:tcBorders>
              <w:top w:val="nil"/>
              <w:left w:val="nil"/>
              <w:bottom w:val="single" w:color="auto" w:sz="4" w:space="0"/>
              <w:right w:val="nil"/>
            </w:tcBorders>
            <w:shd w:val="clear" w:color="auto" w:fill="881E76"/>
          </w:tcPr>
          <w:p w:rsidRPr="00B712C7" w:rsidR="00F67154" w:rsidP="00DB4DE2" w:rsidRDefault="00F67154" w14:paraId="68E74C27" w14:textId="77777777">
            <w:pPr>
              <w:pStyle w:val="BodyText"/>
              <w:jc w:val="center"/>
              <w:rPr>
                <w:rFonts w:ascii="Arial" w:hAnsi="Arial" w:cs="Arial"/>
                <w:b/>
                <w:i/>
                <w:color w:val="FFFFFF" w:themeColor="background1"/>
                <w:sz w:val="20"/>
                <w:szCs w:val="20"/>
              </w:rPr>
            </w:pPr>
            <w:r w:rsidRPr="00B712C7">
              <w:rPr>
                <w:rFonts w:ascii="Arial" w:hAnsi="Arial" w:cs="Arial"/>
                <w:b/>
                <w:i/>
                <w:color w:val="FFFFFF" w:themeColor="background1"/>
                <w:sz w:val="20"/>
                <w:szCs w:val="20"/>
              </w:rPr>
              <w:t>p</w:t>
            </w:r>
          </w:p>
        </w:tc>
      </w:tr>
      <w:tr w:rsidRPr="00B712C7" w:rsidR="00F67154" w:rsidTr="00794910" w14:paraId="4CBE6393" w14:textId="77777777">
        <w:tc>
          <w:tcPr>
            <w:tcW w:w="2508" w:type="dxa"/>
            <w:tcBorders>
              <w:top w:val="single" w:color="auto" w:sz="4" w:space="0"/>
              <w:left w:val="nil"/>
              <w:bottom w:val="single" w:color="auto" w:sz="4" w:space="0"/>
              <w:right w:val="nil"/>
            </w:tcBorders>
          </w:tcPr>
          <w:p w:rsidRPr="00B712C7" w:rsidR="00F67154" w:rsidP="00DB4DE2" w:rsidRDefault="00F67154" w14:paraId="0EA0D5E1" w14:textId="77777777">
            <w:pPr>
              <w:pStyle w:val="BodyTextSpaceAfter"/>
              <w:spacing w:before="60" w:after="60"/>
              <w:rPr>
                <w:rFonts w:ascii="Arial" w:hAnsi="Arial" w:cs="Arial"/>
                <w:b/>
                <w:sz w:val="18"/>
                <w:szCs w:val="18"/>
              </w:rPr>
            </w:pPr>
            <w:r w:rsidRPr="00B712C7">
              <w:rPr>
                <w:rFonts w:ascii="Arial" w:hAnsi="Arial" w:cs="Arial"/>
                <w:b/>
                <w:sz w:val="18"/>
                <w:szCs w:val="18"/>
              </w:rPr>
              <w:t xml:space="preserve">Sex </w:t>
            </w:r>
            <w:r w:rsidRPr="00B712C7" w:rsidR="00A41671">
              <w:rPr>
                <w:rFonts w:ascii="Arial" w:hAnsi="Arial" w:cs="Arial"/>
                <w:b/>
                <w:sz w:val="18"/>
                <w:szCs w:val="18"/>
              </w:rPr>
              <w:t>(</w:t>
            </w:r>
            <w:r w:rsidRPr="00B712C7" w:rsidR="00A41671">
              <w:rPr>
                <w:rFonts w:ascii="Arial" w:hAnsi="Arial" w:cs="Arial"/>
                <w:b/>
                <w:i/>
                <w:sz w:val="18"/>
                <w:szCs w:val="18"/>
              </w:rPr>
              <w:t>n</w:t>
            </w:r>
            <w:r w:rsidRPr="00B712C7" w:rsidR="00A41671">
              <w:rPr>
                <w:rFonts w:ascii="Arial" w:hAnsi="Arial" w:cs="Arial"/>
                <w:b/>
                <w:sz w:val="18"/>
                <w:szCs w:val="18"/>
              </w:rPr>
              <w:t>=66,078)</w:t>
            </w:r>
          </w:p>
          <w:p w:rsidRPr="00B712C7" w:rsidR="00F67154" w:rsidP="00DB4DE2" w:rsidRDefault="00F67154" w14:paraId="4B39E4A4" w14:textId="77777777">
            <w:pPr>
              <w:pStyle w:val="BodyTextSpaceAfter"/>
              <w:spacing w:before="60" w:after="60"/>
              <w:rPr>
                <w:rFonts w:ascii="Arial" w:hAnsi="Arial" w:cs="Arial"/>
                <w:b/>
                <w:sz w:val="18"/>
                <w:szCs w:val="18"/>
              </w:rPr>
            </w:pPr>
            <w:r w:rsidRPr="00B712C7">
              <w:rPr>
                <w:rFonts w:ascii="Arial" w:hAnsi="Arial" w:cs="Arial"/>
                <w:sz w:val="18"/>
                <w:szCs w:val="18"/>
              </w:rPr>
              <w:t>Male</w:t>
            </w:r>
          </w:p>
          <w:p w:rsidRPr="00B712C7" w:rsidR="00F67154" w:rsidP="00DB4DE2" w:rsidRDefault="00F67154" w14:paraId="0705417F" w14:textId="77777777">
            <w:pPr>
              <w:pStyle w:val="BodyTextSpaceAfter"/>
              <w:spacing w:before="60" w:after="60"/>
              <w:rPr>
                <w:rFonts w:ascii="Arial" w:hAnsi="Arial" w:cs="Arial"/>
                <w:b/>
                <w:sz w:val="18"/>
                <w:szCs w:val="18"/>
              </w:rPr>
            </w:pPr>
            <w:r w:rsidRPr="00B712C7">
              <w:rPr>
                <w:rFonts w:ascii="Arial" w:hAnsi="Arial" w:cs="Arial"/>
                <w:sz w:val="18"/>
                <w:szCs w:val="18"/>
              </w:rPr>
              <w:t>Female</w:t>
            </w:r>
          </w:p>
        </w:tc>
        <w:tc>
          <w:tcPr>
            <w:tcW w:w="1464" w:type="dxa"/>
            <w:tcBorders>
              <w:top w:val="single" w:color="auto" w:sz="4" w:space="0"/>
              <w:left w:val="nil"/>
              <w:bottom w:val="single" w:color="auto" w:sz="4" w:space="0"/>
              <w:right w:val="nil"/>
            </w:tcBorders>
            <w:shd w:val="clear" w:color="auto" w:fill="E4D2E2"/>
            <w:vAlign w:val="bottom"/>
          </w:tcPr>
          <w:p w:rsidRPr="00B712C7" w:rsidR="00A41671" w:rsidP="00DB4DE2" w:rsidRDefault="00756857" w14:paraId="6FAE5769" w14:textId="7CEC7E4A">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38,024</w:t>
            </w:r>
          </w:p>
          <w:p w:rsidRPr="00B712C7" w:rsidR="004E6274" w:rsidP="00DB4DE2" w:rsidRDefault="00756857" w14:paraId="0E5C52C8" w14:textId="3399AD3A">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9,274</w:t>
            </w:r>
          </w:p>
        </w:tc>
        <w:tc>
          <w:tcPr>
            <w:tcW w:w="1464" w:type="dxa"/>
            <w:tcBorders>
              <w:top w:val="single" w:color="auto" w:sz="4" w:space="0"/>
              <w:left w:val="nil"/>
              <w:bottom w:val="single" w:color="auto" w:sz="4" w:space="0"/>
              <w:right w:val="nil"/>
            </w:tcBorders>
            <w:shd w:val="clear" w:color="auto" w:fill="E4D2E2"/>
            <w:vAlign w:val="bottom"/>
          </w:tcPr>
          <w:p w:rsidRPr="00B712C7" w:rsidR="00C316CC" w:rsidP="00D87863" w:rsidRDefault="004E6274" w14:paraId="06E06B0C" w14:textId="77777777">
            <w:pPr>
              <w:pStyle w:val="BodyTextSpaceAfter"/>
              <w:spacing w:before="60" w:after="60"/>
              <w:jc w:val="center"/>
              <w:rPr>
                <w:rFonts w:ascii="Arial" w:hAnsi="Arial" w:cs="Arial"/>
                <w:sz w:val="18"/>
                <w:szCs w:val="18"/>
              </w:rPr>
            </w:pPr>
            <w:r w:rsidRPr="00B712C7">
              <w:rPr>
                <w:rFonts w:ascii="Arial" w:hAnsi="Arial" w:cs="Arial"/>
                <w:sz w:val="18"/>
                <w:szCs w:val="18"/>
              </w:rPr>
              <w:t>80.4</w:t>
            </w:r>
          </w:p>
          <w:p w:rsidRPr="00B712C7" w:rsidR="004E6274" w:rsidP="00D87863" w:rsidRDefault="004E6274" w14:paraId="6A775B29" w14:textId="77777777">
            <w:pPr>
              <w:pStyle w:val="BodyTextSpaceAfter"/>
              <w:spacing w:before="60" w:after="60"/>
              <w:jc w:val="center"/>
              <w:rPr>
                <w:rFonts w:ascii="Arial" w:hAnsi="Arial" w:cs="Arial"/>
                <w:sz w:val="18"/>
                <w:szCs w:val="18"/>
              </w:rPr>
            </w:pPr>
            <w:r w:rsidRPr="00B712C7">
              <w:rPr>
                <w:rFonts w:ascii="Arial" w:hAnsi="Arial" w:cs="Arial"/>
                <w:sz w:val="18"/>
                <w:szCs w:val="18"/>
              </w:rPr>
              <w:t>19.6</w:t>
            </w:r>
          </w:p>
        </w:tc>
        <w:tc>
          <w:tcPr>
            <w:tcW w:w="1464" w:type="dxa"/>
            <w:tcBorders>
              <w:top w:val="single" w:color="auto" w:sz="4" w:space="0"/>
              <w:left w:val="nil"/>
              <w:bottom w:val="single" w:color="auto" w:sz="4" w:space="0"/>
              <w:right w:val="nil"/>
            </w:tcBorders>
            <w:vAlign w:val="bottom"/>
          </w:tcPr>
          <w:p w:rsidRPr="00B712C7" w:rsidR="00A41671" w:rsidP="00DB4DE2" w:rsidRDefault="00756857" w14:paraId="7FF12FBF" w14:textId="3B806B79">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15,900</w:t>
            </w:r>
          </w:p>
          <w:p w:rsidRPr="00B712C7" w:rsidR="00546E47" w:rsidP="00DB4DE2" w:rsidRDefault="00756857" w14:paraId="62C1BC41" w14:textId="6A5F1755">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2,883</w:t>
            </w:r>
          </w:p>
        </w:tc>
        <w:tc>
          <w:tcPr>
            <w:tcW w:w="1464" w:type="dxa"/>
            <w:tcBorders>
              <w:top w:val="single" w:color="auto" w:sz="4" w:space="0"/>
              <w:left w:val="nil"/>
              <w:bottom w:val="single" w:color="auto" w:sz="4" w:space="0"/>
              <w:right w:val="nil"/>
            </w:tcBorders>
            <w:vAlign w:val="bottom"/>
          </w:tcPr>
          <w:p w:rsidRPr="00B712C7" w:rsidR="00D87863" w:rsidP="00DB4DE2" w:rsidRDefault="00756857" w14:paraId="3D5FEBD8" w14:textId="22F41F27">
            <w:pPr>
              <w:pStyle w:val="BodyTextSpaceAfter"/>
              <w:spacing w:before="60" w:after="60"/>
              <w:jc w:val="center"/>
              <w:rPr>
                <w:rFonts w:ascii="Arial" w:hAnsi="Arial" w:cs="Arial"/>
                <w:sz w:val="18"/>
                <w:szCs w:val="18"/>
              </w:rPr>
            </w:pPr>
            <w:r w:rsidRPr="00B712C7">
              <w:rPr>
                <w:rFonts w:ascii="Arial" w:hAnsi="Arial" w:cs="Arial"/>
                <w:sz w:val="18"/>
                <w:szCs w:val="18"/>
              </w:rPr>
              <w:t>84.7</w:t>
            </w:r>
          </w:p>
          <w:p w:rsidRPr="00B712C7" w:rsidR="00546E47" w:rsidP="00DB4DE2" w:rsidRDefault="00546E47" w14:paraId="23E79C54" w14:textId="77777777">
            <w:pPr>
              <w:pStyle w:val="BodyTextSpaceAfter"/>
              <w:spacing w:before="60" w:after="60"/>
              <w:jc w:val="center"/>
              <w:rPr>
                <w:rFonts w:ascii="Arial" w:hAnsi="Arial" w:cs="Arial"/>
                <w:sz w:val="18"/>
                <w:szCs w:val="18"/>
              </w:rPr>
            </w:pPr>
            <w:r w:rsidRPr="00B712C7">
              <w:rPr>
                <w:rFonts w:ascii="Arial" w:hAnsi="Arial" w:cs="Arial"/>
                <w:sz w:val="18"/>
                <w:szCs w:val="18"/>
              </w:rPr>
              <w:t>15.4</w:t>
            </w:r>
          </w:p>
        </w:tc>
        <w:tc>
          <w:tcPr>
            <w:tcW w:w="1253" w:type="dxa"/>
            <w:tcBorders>
              <w:top w:val="single" w:color="auto" w:sz="4" w:space="0"/>
              <w:left w:val="nil"/>
              <w:bottom w:val="single" w:color="auto" w:sz="4" w:space="0"/>
              <w:right w:val="nil"/>
            </w:tcBorders>
            <w:shd w:val="clear" w:color="auto" w:fill="E4D2E2"/>
          </w:tcPr>
          <w:p w:rsidRPr="00B712C7" w:rsidR="00F67154" w:rsidP="00DB4DE2" w:rsidRDefault="00F67154" w14:paraId="07651AB6" w14:textId="77777777">
            <w:pPr>
              <w:pStyle w:val="BodyTextSpaceAfter"/>
              <w:spacing w:before="60" w:after="60"/>
              <w:jc w:val="center"/>
              <w:rPr>
                <w:rFonts w:ascii="Arial" w:hAnsi="Arial" w:cs="Arial"/>
                <w:sz w:val="18"/>
                <w:szCs w:val="18"/>
              </w:rPr>
            </w:pPr>
            <w:r w:rsidRPr="00B712C7">
              <w:rPr>
                <w:rFonts w:ascii="Arial" w:hAnsi="Arial" w:cs="Arial"/>
                <w:sz w:val="18"/>
                <w:szCs w:val="18"/>
              </w:rPr>
              <w:t>&lt;.0001</w:t>
            </w:r>
            <w:r w:rsidRPr="00B712C7" w:rsidR="00794910">
              <w:rPr>
                <w:rStyle w:val="FootnoteReference"/>
                <w:rFonts w:ascii="Arial" w:hAnsi="Arial" w:cs="Arial"/>
                <w:sz w:val="18"/>
                <w:szCs w:val="18"/>
              </w:rPr>
              <w:footnoteReference w:id="2"/>
            </w:r>
          </w:p>
        </w:tc>
      </w:tr>
      <w:tr w:rsidRPr="00B712C7" w:rsidR="00F67154" w:rsidTr="00686A68" w14:paraId="3FC5B28D" w14:textId="77777777">
        <w:tc>
          <w:tcPr>
            <w:tcW w:w="2508" w:type="dxa"/>
            <w:tcBorders>
              <w:top w:val="single" w:color="auto" w:sz="4" w:space="0"/>
              <w:left w:val="nil"/>
              <w:bottom w:val="single" w:color="auto" w:sz="4" w:space="0"/>
              <w:right w:val="nil"/>
            </w:tcBorders>
          </w:tcPr>
          <w:p w:rsidRPr="00B712C7" w:rsidR="00F67154" w:rsidP="00DB4DE2" w:rsidRDefault="00F67154" w14:paraId="3EFEE5BB" w14:textId="77777777">
            <w:pPr>
              <w:pStyle w:val="BodyTextSpaceAfter"/>
              <w:spacing w:before="60" w:after="60"/>
              <w:rPr>
                <w:rFonts w:ascii="Arial" w:hAnsi="Arial" w:cs="Arial"/>
                <w:b/>
                <w:sz w:val="18"/>
                <w:szCs w:val="18"/>
              </w:rPr>
            </w:pPr>
            <w:r w:rsidRPr="00B712C7">
              <w:rPr>
                <w:rFonts w:ascii="Arial" w:hAnsi="Arial" w:cs="Arial"/>
                <w:b/>
                <w:sz w:val="18"/>
                <w:szCs w:val="18"/>
              </w:rPr>
              <w:t xml:space="preserve">Age </w:t>
            </w:r>
            <w:r w:rsidRPr="00B712C7" w:rsidR="009154E1">
              <w:rPr>
                <w:rFonts w:ascii="Arial" w:hAnsi="Arial" w:cs="Arial"/>
                <w:b/>
                <w:sz w:val="18"/>
                <w:szCs w:val="18"/>
              </w:rPr>
              <w:t>at first offence</w:t>
            </w:r>
            <w:r w:rsidRPr="00B712C7" w:rsidR="00794910">
              <w:rPr>
                <w:rFonts w:ascii="Arial" w:hAnsi="Arial" w:cs="Arial"/>
                <w:b/>
                <w:sz w:val="18"/>
                <w:szCs w:val="18"/>
              </w:rPr>
              <w:t xml:space="preserve"> (</w:t>
            </w:r>
            <w:r w:rsidRPr="00B712C7" w:rsidR="00794910">
              <w:rPr>
                <w:rFonts w:ascii="Arial" w:hAnsi="Arial" w:cs="Arial"/>
                <w:b/>
                <w:i/>
                <w:sz w:val="18"/>
                <w:szCs w:val="18"/>
              </w:rPr>
              <w:t>n</w:t>
            </w:r>
            <w:r w:rsidRPr="00B712C7" w:rsidR="001F770F">
              <w:rPr>
                <w:rFonts w:ascii="Arial" w:hAnsi="Arial" w:cs="Arial"/>
                <w:b/>
                <w:sz w:val="18"/>
                <w:szCs w:val="18"/>
              </w:rPr>
              <w:t>=65,705</w:t>
            </w:r>
            <w:r w:rsidRPr="00B712C7" w:rsidR="00794910">
              <w:rPr>
                <w:rFonts w:ascii="Arial" w:hAnsi="Arial" w:cs="Arial"/>
                <w:b/>
                <w:sz w:val="18"/>
                <w:szCs w:val="18"/>
              </w:rPr>
              <w:t>)</w:t>
            </w:r>
          </w:p>
          <w:p w:rsidRPr="00B712C7" w:rsidR="00F67154" w:rsidP="00686A68" w:rsidRDefault="00517965" w14:paraId="53BFFCEA" w14:textId="77777777">
            <w:pPr>
              <w:pStyle w:val="BodyTextSpaceAfter"/>
              <w:spacing w:before="60" w:after="60"/>
              <w:rPr>
                <w:rFonts w:ascii="Arial" w:hAnsi="Arial" w:cs="Arial"/>
                <w:sz w:val="18"/>
                <w:szCs w:val="18"/>
              </w:rPr>
            </w:pPr>
            <w:r w:rsidRPr="00B712C7">
              <w:rPr>
                <w:rFonts w:ascii="Arial" w:hAnsi="Arial" w:cs="Arial"/>
                <w:sz w:val="18"/>
                <w:szCs w:val="18"/>
              </w:rPr>
              <w:t xml:space="preserve">10 to </w:t>
            </w:r>
            <w:r w:rsidRPr="00B712C7" w:rsidR="00F67154">
              <w:rPr>
                <w:rFonts w:ascii="Arial" w:hAnsi="Arial" w:cs="Arial"/>
                <w:sz w:val="18"/>
                <w:szCs w:val="18"/>
              </w:rPr>
              <w:t>14</w:t>
            </w:r>
          </w:p>
          <w:p w:rsidRPr="00B712C7" w:rsidR="00F67154" w:rsidP="00686A68" w:rsidRDefault="00517965" w14:paraId="07568FE0" w14:textId="77777777">
            <w:pPr>
              <w:pStyle w:val="BodyTextSpaceAfter"/>
              <w:spacing w:before="60" w:after="60"/>
              <w:rPr>
                <w:rFonts w:ascii="Arial" w:hAnsi="Arial" w:cs="Arial"/>
                <w:sz w:val="18"/>
                <w:szCs w:val="18"/>
              </w:rPr>
            </w:pPr>
            <w:r w:rsidRPr="00B712C7">
              <w:rPr>
                <w:rFonts w:ascii="Arial" w:hAnsi="Arial" w:cs="Arial"/>
                <w:sz w:val="18"/>
                <w:szCs w:val="18"/>
              </w:rPr>
              <w:t xml:space="preserve">15 to </w:t>
            </w:r>
            <w:r w:rsidRPr="00B712C7" w:rsidR="00F67154">
              <w:rPr>
                <w:rFonts w:ascii="Arial" w:hAnsi="Arial" w:cs="Arial"/>
                <w:sz w:val="18"/>
                <w:szCs w:val="18"/>
              </w:rPr>
              <w:t>19</w:t>
            </w:r>
          </w:p>
          <w:p w:rsidRPr="00B712C7" w:rsidR="00F67154" w:rsidP="00686A68" w:rsidRDefault="00517965" w14:paraId="1EDA4950" w14:textId="77777777">
            <w:pPr>
              <w:pStyle w:val="BodyTextSpaceAfter"/>
              <w:spacing w:before="60" w:after="60"/>
              <w:rPr>
                <w:rFonts w:ascii="Arial" w:hAnsi="Arial" w:cs="Arial"/>
                <w:sz w:val="18"/>
                <w:szCs w:val="18"/>
              </w:rPr>
            </w:pPr>
            <w:r w:rsidRPr="00B712C7">
              <w:rPr>
                <w:rFonts w:ascii="Arial" w:hAnsi="Arial" w:cs="Arial"/>
                <w:sz w:val="18"/>
                <w:szCs w:val="18"/>
              </w:rPr>
              <w:t xml:space="preserve">20 to </w:t>
            </w:r>
            <w:r w:rsidRPr="00B712C7" w:rsidR="00F67154">
              <w:rPr>
                <w:rFonts w:ascii="Arial" w:hAnsi="Arial" w:cs="Arial"/>
                <w:sz w:val="18"/>
                <w:szCs w:val="18"/>
              </w:rPr>
              <w:t>24</w:t>
            </w:r>
          </w:p>
          <w:p w:rsidRPr="00B712C7" w:rsidR="00F67154" w:rsidP="00686A68" w:rsidRDefault="00517965" w14:paraId="373B39BC" w14:textId="77777777">
            <w:pPr>
              <w:pStyle w:val="BodyTextSpaceAfter"/>
              <w:spacing w:before="60" w:after="60"/>
              <w:rPr>
                <w:rFonts w:ascii="Arial" w:hAnsi="Arial" w:cs="Arial"/>
                <w:sz w:val="18"/>
                <w:szCs w:val="18"/>
              </w:rPr>
            </w:pPr>
            <w:r w:rsidRPr="00B712C7">
              <w:rPr>
                <w:rFonts w:ascii="Arial" w:hAnsi="Arial" w:cs="Arial"/>
                <w:sz w:val="18"/>
                <w:szCs w:val="18"/>
              </w:rPr>
              <w:t xml:space="preserve">25 to </w:t>
            </w:r>
            <w:r w:rsidRPr="00B712C7" w:rsidR="00F67154">
              <w:rPr>
                <w:rFonts w:ascii="Arial" w:hAnsi="Arial" w:cs="Arial"/>
                <w:sz w:val="18"/>
                <w:szCs w:val="18"/>
              </w:rPr>
              <w:t>29</w:t>
            </w:r>
          </w:p>
          <w:p w:rsidRPr="00B712C7" w:rsidR="00F67154" w:rsidP="00686A68" w:rsidRDefault="00517965" w14:paraId="7622B98F" w14:textId="77777777">
            <w:pPr>
              <w:pStyle w:val="BodyTextSpaceAfter"/>
              <w:spacing w:before="60" w:after="60"/>
              <w:rPr>
                <w:rFonts w:ascii="Arial" w:hAnsi="Arial" w:cs="Arial"/>
                <w:sz w:val="18"/>
                <w:szCs w:val="18"/>
              </w:rPr>
            </w:pPr>
            <w:r w:rsidRPr="00B712C7">
              <w:rPr>
                <w:rFonts w:ascii="Arial" w:hAnsi="Arial" w:cs="Arial"/>
                <w:sz w:val="18"/>
                <w:szCs w:val="18"/>
              </w:rPr>
              <w:t xml:space="preserve">30 to </w:t>
            </w:r>
            <w:r w:rsidRPr="00B712C7" w:rsidR="00F67154">
              <w:rPr>
                <w:rFonts w:ascii="Arial" w:hAnsi="Arial" w:cs="Arial"/>
                <w:sz w:val="18"/>
                <w:szCs w:val="18"/>
              </w:rPr>
              <w:t>34</w:t>
            </w:r>
          </w:p>
          <w:p w:rsidRPr="00B712C7" w:rsidR="00F67154" w:rsidP="00686A68" w:rsidRDefault="00517965" w14:paraId="2D35A21B" w14:textId="77777777">
            <w:pPr>
              <w:pStyle w:val="BodyTextSpaceAfter"/>
              <w:spacing w:before="60" w:after="60"/>
              <w:rPr>
                <w:rFonts w:ascii="Arial" w:hAnsi="Arial" w:cs="Arial"/>
                <w:sz w:val="18"/>
                <w:szCs w:val="18"/>
              </w:rPr>
            </w:pPr>
            <w:r w:rsidRPr="00B712C7">
              <w:rPr>
                <w:rFonts w:ascii="Arial" w:hAnsi="Arial" w:cs="Arial"/>
                <w:sz w:val="18"/>
                <w:szCs w:val="18"/>
              </w:rPr>
              <w:t xml:space="preserve">35 to </w:t>
            </w:r>
            <w:r w:rsidRPr="00B712C7" w:rsidR="00F67154">
              <w:rPr>
                <w:rFonts w:ascii="Arial" w:hAnsi="Arial" w:cs="Arial"/>
                <w:sz w:val="18"/>
                <w:szCs w:val="18"/>
              </w:rPr>
              <w:t>39</w:t>
            </w:r>
          </w:p>
          <w:p w:rsidRPr="00B712C7" w:rsidR="00F67154" w:rsidP="00686A68" w:rsidRDefault="00517965" w14:paraId="7D98A2B9" w14:textId="77777777">
            <w:pPr>
              <w:pStyle w:val="BodyTextSpaceAfter"/>
              <w:spacing w:before="60" w:after="60"/>
              <w:rPr>
                <w:rFonts w:ascii="Arial" w:hAnsi="Arial" w:cs="Arial"/>
                <w:sz w:val="18"/>
                <w:szCs w:val="18"/>
              </w:rPr>
            </w:pPr>
            <w:r w:rsidRPr="00B712C7">
              <w:rPr>
                <w:rFonts w:ascii="Arial" w:hAnsi="Arial" w:cs="Arial"/>
                <w:sz w:val="18"/>
                <w:szCs w:val="18"/>
              </w:rPr>
              <w:t xml:space="preserve">40 to </w:t>
            </w:r>
            <w:r w:rsidRPr="00B712C7" w:rsidR="00F67154">
              <w:rPr>
                <w:rFonts w:ascii="Arial" w:hAnsi="Arial" w:cs="Arial"/>
                <w:sz w:val="18"/>
                <w:szCs w:val="18"/>
              </w:rPr>
              <w:t>44</w:t>
            </w:r>
          </w:p>
          <w:p w:rsidRPr="00B712C7" w:rsidR="00F67154" w:rsidP="00686A68" w:rsidRDefault="00517965" w14:paraId="63A786E5" w14:textId="77777777">
            <w:pPr>
              <w:pStyle w:val="BodyTextSpaceAfter"/>
              <w:spacing w:before="60" w:after="60"/>
              <w:rPr>
                <w:rFonts w:ascii="Arial" w:hAnsi="Arial" w:cs="Arial"/>
                <w:sz w:val="18"/>
                <w:szCs w:val="18"/>
              </w:rPr>
            </w:pPr>
            <w:r w:rsidRPr="00B712C7">
              <w:rPr>
                <w:rFonts w:ascii="Arial" w:hAnsi="Arial" w:cs="Arial"/>
                <w:sz w:val="18"/>
                <w:szCs w:val="18"/>
              </w:rPr>
              <w:t xml:space="preserve">45 to </w:t>
            </w:r>
            <w:r w:rsidRPr="00B712C7" w:rsidR="00F67154">
              <w:rPr>
                <w:rFonts w:ascii="Arial" w:hAnsi="Arial" w:cs="Arial"/>
                <w:sz w:val="18"/>
                <w:szCs w:val="18"/>
              </w:rPr>
              <w:t>49</w:t>
            </w:r>
          </w:p>
          <w:p w:rsidRPr="00B712C7" w:rsidR="00F67154" w:rsidP="00686A68" w:rsidRDefault="00517965" w14:paraId="2CEEEA6A" w14:textId="77777777">
            <w:pPr>
              <w:pStyle w:val="BodyTextSpaceAfter"/>
              <w:spacing w:before="60" w:after="60"/>
              <w:rPr>
                <w:rFonts w:ascii="Arial" w:hAnsi="Arial" w:cs="Arial"/>
                <w:sz w:val="18"/>
                <w:szCs w:val="18"/>
              </w:rPr>
            </w:pPr>
            <w:r w:rsidRPr="00B712C7">
              <w:rPr>
                <w:rFonts w:ascii="Arial" w:hAnsi="Arial" w:cs="Arial"/>
                <w:sz w:val="18"/>
                <w:szCs w:val="18"/>
              </w:rPr>
              <w:t xml:space="preserve">50 to </w:t>
            </w:r>
            <w:r w:rsidRPr="00B712C7" w:rsidR="00F67154">
              <w:rPr>
                <w:rFonts w:ascii="Arial" w:hAnsi="Arial" w:cs="Arial"/>
                <w:sz w:val="18"/>
                <w:szCs w:val="18"/>
              </w:rPr>
              <w:t>54</w:t>
            </w:r>
          </w:p>
          <w:p w:rsidRPr="00B712C7" w:rsidR="00F67154" w:rsidP="00686A68" w:rsidRDefault="00517965" w14:paraId="64A3BB93" w14:textId="77777777">
            <w:pPr>
              <w:pStyle w:val="BodyTextSpaceAfter"/>
              <w:spacing w:before="60" w:after="60"/>
              <w:rPr>
                <w:rFonts w:ascii="Arial" w:hAnsi="Arial" w:cs="Arial"/>
                <w:sz w:val="18"/>
                <w:szCs w:val="18"/>
              </w:rPr>
            </w:pPr>
            <w:r w:rsidRPr="00B712C7">
              <w:rPr>
                <w:rFonts w:ascii="Arial" w:hAnsi="Arial" w:cs="Arial"/>
                <w:sz w:val="18"/>
                <w:szCs w:val="18"/>
              </w:rPr>
              <w:t xml:space="preserve">55 to </w:t>
            </w:r>
            <w:r w:rsidRPr="00B712C7" w:rsidR="00F67154">
              <w:rPr>
                <w:rFonts w:ascii="Arial" w:hAnsi="Arial" w:cs="Arial"/>
                <w:sz w:val="18"/>
                <w:szCs w:val="18"/>
              </w:rPr>
              <w:t>59</w:t>
            </w:r>
          </w:p>
          <w:p w:rsidRPr="00B712C7" w:rsidR="00F67154" w:rsidP="00686A68" w:rsidRDefault="00517965" w14:paraId="785FD2C9" w14:textId="77777777">
            <w:pPr>
              <w:pStyle w:val="BodyTextSpaceAfter"/>
              <w:spacing w:before="60" w:after="60"/>
              <w:rPr>
                <w:rFonts w:ascii="Arial" w:hAnsi="Arial" w:cs="Arial"/>
                <w:sz w:val="18"/>
                <w:szCs w:val="18"/>
              </w:rPr>
            </w:pPr>
            <w:r w:rsidRPr="00B712C7">
              <w:rPr>
                <w:rFonts w:ascii="Arial" w:hAnsi="Arial" w:cs="Arial"/>
                <w:sz w:val="18"/>
                <w:szCs w:val="18"/>
              </w:rPr>
              <w:t xml:space="preserve">60 to </w:t>
            </w:r>
            <w:r w:rsidRPr="00B712C7" w:rsidR="00F67154">
              <w:rPr>
                <w:rFonts w:ascii="Arial" w:hAnsi="Arial" w:cs="Arial"/>
                <w:sz w:val="18"/>
                <w:szCs w:val="18"/>
              </w:rPr>
              <w:t>64</w:t>
            </w:r>
          </w:p>
          <w:p w:rsidRPr="00B712C7" w:rsidR="00F67154" w:rsidP="00686A68" w:rsidRDefault="00F67154" w14:paraId="0F2667CD" w14:textId="77777777">
            <w:pPr>
              <w:pStyle w:val="BodyTextSpaceAfter"/>
              <w:spacing w:before="60" w:after="60"/>
              <w:rPr>
                <w:rFonts w:ascii="Arial" w:hAnsi="Arial" w:cs="Arial"/>
                <w:sz w:val="18"/>
                <w:szCs w:val="18"/>
              </w:rPr>
            </w:pPr>
            <w:r w:rsidRPr="00B712C7">
              <w:rPr>
                <w:rFonts w:ascii="Arial" w:hAnsi="Arial" w:cs="Arial"/>
                <w:sz w:val="18"/>
                <w:szCs w:val="18"/>
              </w:rPr>
              <w:t>65 or older</w:t>
            </w:r>
          </w:p>
        </w:tc>
        <w:tc>
          <w:tcPr>
            <w:tcW w:w="1464" w:type="dxa"/>
            <w:tcBorders>
              <w:top w:val="single" w:color="auto" w:sz="4" w:space="0"/>
              <w:left w:val="nil"/>
              <w:bottom w:val="single" w:color="auto" w:sz="4" w:space="0"/>
              <w:right w:val="nil"/>
            </w:tcBorders>
            <w:shd w:val="clear" w:color="auto" w:fill="E4D2E2"/>
            <w:vAlign w:val="bottom"/>
          </w:tcPr>
          <w:p w:rsidRPr="00B712C7" w:rsidR="00C376A0" w:rsidP="00686A68" w:rsidRDefault="006D5460" w14:paraId="587B5B28"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540</w:t>
            </w:r>
          </w:p>
          <w:p w:rsidRPr="00B712C7" w:rsidR="006D5460" w:rsidP="00686A68" w:rsidRDefault="006D5460" w14:paraId="2CEA7ABD" w14:textId="7EA253D3">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8,911</w:t>
            </w:r>
          </w:p>
          <w:p w:rsidRPr="00B712C7" w:rsidR="006D5460" w:rsidP="00686A68" w:rsidRDefault="006D5460" w14:paraId="4C0FAE9D"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12,557</w:t>
            </w:r>
          </w:p>
          <w:p w:rsidRPr="00B712C7" w:rsidR="006D5460" w:rsidP="00686A68" w:rsidRDefault="006D5460" w14:paraId="10AAA7E3"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7,832</w:t>
            </w:r>
          </w:p>
          <w:p w:rsidRPr="00B712C7" w:rsidR="006D5460" w:rsidP="00686A68" w:rsidRDefault="006D5460" w14:paraId="16B847EF"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5,749</w:t>
            </w:r>
          </w:p>
          <w:p w:rsidRPr="00B712C7" w:rsidR="006D5460" w:rsidP="00686A68" w:rsidRDefault="006D5460" w14:paraId="0AEC9457"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4,476</w:t>
            </w:r>
          </w:p>
          <w:p w:rsidRPr="00B712C7" w:rsidR="006D5460" w:rsidP="00686A68" w:rsidRDefault="006D5460" w14:paraId="6CD8272E"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3,258</w:t>
            </w:r>
          </w:p>
          <w:p w:rsidRPr="00B712C7" w:rsidR="006D5460" w:rsidP="00686A68" w:rsidRDefault="006D5460" w14:paraId="06E06B7C"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1,938</w:t>
            </w:r>
          </w:p>
          <w:p w:rsidRPr="00B712C7" w:rsidR="006D5460" w:rsidP="00686A68" w:rsidRDefault="006D5460" w14:paraId="05A02300"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1,009</w:t>
            </w:r>
          </w:p>
          <w:p w:rsidRPr="00B712C7" w:rsidR="006D5460" w:rsidP="00686A68" w:rsidRDefault="006D5460" w14:paraId="133F77BA"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461</w:t>
            </w:r>
          </w:p>
          <w:p w:rsidRPr="00B712C7" w:rsidR="006D5460" w:rsidP="00686A68" w:rsidRDefault="006D5460" w14:paraId="41DCD68C"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164</w:t>
            </w:r>
          </w:p>
          <w:p w:rsidRPr="00B712C7" w:rsidR="006D5460" w:rsidP="00686A68" w:rsidRDefault="006D5460" w14:paraId="5FFA600A" w14:textId="63661010">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91</w:t>
            </w:r>
          </w:p>
        </w:tc>
        <w:tc>
          <w:tcPr>
            <w:tcW w:w="1464" w:type="dxa"/>
            <w:tcBorders>
              <w:top w:val="single" w:color="auto" w:sz="4" w:space="0"/>
              <w:left w:val="nil"/>
              <w:bottom w:val="single" w:color="auto" w:sz="4" w:space="0"/>
              <w:right w:val="nil"/>
            </w:tcBorders>
            <w:shd w:val="clear" w:color="auto" w:fill="E4D2E2"/>
            <w:vAlign w:val="bottom"/>
          </w:tcPr>
          <w:p w:rsidRPr="00B712C7" w:rsidR="00F67154" w:rsidP="00686A68" w:rsidRDefault="00F67154" w14:paraId="234355A6" w14:textId="77777777">
            <w:pPr>
              <w:pStyle w:val="BodyTextSpaceAfter"/>
              <w:spacing w:before="60" w:after="60"/>
              <w:rPr>
                <w:rFonts w:ascii="Arial" w:hAnsi="Arial" w:cs="Arial"/>
                <w:sz w:val="18"/>
                <w:szCs w:val="18"/>
              </w:rPr>
            </w:pPr>
          </w:p>
          <w:p w:rsidRPr="00B712C7" w:rsidR="00C376A0" w:rsidP="00686A68" w:rsidRDefault="006D5460" w14:paraId="07E80AA3" w14:textId="77777777">
            <w:pPr>
              <w:pStyle w:val="BodyTextSpaceAfter"/>
              <w:spacing w:before="60" w:after="60"/>
              <w:jc w:val="center"/>
              <w:rPr>
                <w:rFonts w:ascii="Arial" w:hAnsi="Arial" w:cs="Arial"/>
                <w:sz w:val="18"/>
                <w:szCs w:val="18"/>
              </w:rPr>
            </w:pPr>
            <w:r w:rsidRPr="00B712C7">
              <w:rPr>
                <w:rFonts w:ascii="Arial" w:hAnsi="Arial" w:cs="Arial"/>
                <w:sz w:val="18"/>
                <w:szCs w:val="18"/>
              </w:rPr>
              <w:t>1.2</w:t>
            </w:r>
          </w:p>
          <w:p w:rsidRPr="00B712C7" w:rsidR="006D5460" w:rsidP="00686A68" w:rsidRDefault="006D5460" w14:paraId="762F23E0" w14:textId="77777777">
            <w:pPr>
              <w:pStyle w:val="BodyTextSpaceAfter"/>
              <w:spacing w:before="60" w:after="60"/>
              <w:jc w:val="center"/>
              <w:rPr>
                <w:rFonts w:ascii="Arial" w:hAnsi="Arial" w:cs="Arial"/>
                <w:sz w:val="18"/>
                <w:szCs w:val="18"/>
              </w:rPr>
            </w:pPr>
            <w:r w:rsidRPr="00B712C7">
              <w:rPr>
                <w:rFonts w:ascii="Arial" w:hAnsi="Arial" w:cs="Arial"/>
                <w:sz w:val="18"/>
                <w:szCs w:val="18"/>
              </w:rPr>
              <w:t>19.0</w:t>
            </w:r>
          </w:p>
          <w:p w:rsidRPr="00B712C7" w:rsidR="006D5460" w:rsidP="00686A68" w:rsidRDefault="006D5460" w14:paraId="154B571B" w14:textId="77777777">
            <w:pPr>
              <w:pStyle w:val="BodyTextSpaceAfter"/>
              <w:spacing w:before="60" w:after="60"/>
              <w:jc w:val="center"/>
              <w:rPr>
                <w:rFonts w:ascii="Arial" w:hAnsi="Arial" w:cs="Arial"/>
                <w:sz w:val="18"/>
                <w:szCs w:val="18"/>
              </w:rPr>
            </w:pPr>
            <w:r w:rsidRPr="00B712C7">
              <w:rPr>
                <w:rFonts w:ascii="Arial" w:hAnsi="Arial" w:cs="Arial"/>
                <w:sz w:val="18"/>
                <w:szCs w:val="18"/>
              </w:rPr>
              <w:t>26.7</w:t>
            </w:r>
          </w:p>
          <w:p w:rsidRPr="00B712C7" w:rsidR="006D5460" w:rsidP="00686A68" w:rsidRDefault="006D5460" w14:paraId="30F165C4" w14:textId="77777777">
            <w:pPr>
              <w:pStyle w:val="BodyTextSpaceAfter"/>
              <w:spacing w:before="60" w:after="60"/>
              <w:jc w:val="center"/>
              <w:rPr>
                <w:rFonts w:ascii="Arial" w:hAnsi="Arial" w:cs="Arial"/>
                <w:sz w:val="18"/>
                <w:szCs w:val="18"/>
              </w:rPr>
            </w:pPr>
            <w:r w:rsidRPr="00B712C7">
              <w:rPr>
                <w:rFonts w:ascii="Arial" w:hAnsi="Arial" w:cs="Arial"/>
                <w:sz w:val="18"/>
                <w:szCs w:val="18"/>
              </w:rPr>
              <w:t>16.7</w:t>
            </w:r>
          </w:p>
          <w:p w:rsidRPr="00B712C7" w:rsidR="006D5460" w:rsidP="00686A68" w:rsidRDefault="006D5460" w14:paraId="3AA47FD2" w14:textId="77777777">
            <w:pPr>
              <w:pStyle w:val="BodyTextSpaceAfter"/>
              <w:spacing w:before="60" w:after="60"/>
              <w:jc w:val="center"/>
              <w:rPr>
                <w:rFonts w:ascii="Arial" w:hAnsi="Arial" w:cs="Arial"/>
                <w:sz w:val="18"/>
                <w:szCs w:val="18"/>
              </w:rPr>
            </w:pPr>
            <w:r w:rsidRPr="00B712C7">
              <w:rPr>
                <w:rFonts w:ascii="Arial" w:hAnsi="Arial" w:cs="Arial"/>
                <w:sz w:val="18"/>
                <w:szCs w:val="18"/>
              </w:rPr>
              <w:t>12.2</w:t>
            </w:r>
          </w:p>
          <w:p w:rsidRPr="00B712C7" w:rsidR="006D5460" w:rsidP="00686A68" w:rsidRDefault="006D5460" w14:paraId="4A67FA00" w14:textId="77777777">
            <w:pPr>
              <w:pStyle w:val="BodyTextSpaceAfter"/>
              <w:spacing w:before="60" w:after="60"/>
              <w:jc w:val="center"/>
              <w:rPr>
                <w:rFonts w:ascii="Arial" w:hAnsi="Arial" w:cs="Arial"/>
                <w:sz w:val="18"/>
                <w:szCs w:val="18"/>
              </w:rPr>
            </w:pPr>
            <w:r w:rsidRPr="00B712C7">
              <w:rPr>
                <w:rFonts w:ascii="Arial" w:hAnsi="Arial" w:cs="Arial"/>
                <w:sz w:val="18"/>
                <w:szCs w:val="18"/>
              </w:rPr>
              <w:t>9.5</w:t>
            </w:r>
          </w:p>
          <w:p w:rsidRPr="00B712C7" w:rsidR="006D5460" w:rsidP="00686A68" w:rsidRDefault="006D5460" w14:paraId="0A9C9BCB" w14:textId="77777777">
            <w:pPr>
              <w:pStyle w:val="BodyTextSpaceAfter"/>
              <w:spacing w:before="60" w:after="60"/>
              <w:jc w:val="center"/>
              <w:rPr>
                <w:rFonts w:ascii="Arial" w:hAnsi="Arial" w:cs="Arial"/>
                <w:sz w:val="18"/>
                <w:szCs w:val="18"/>
              </w:rPr>
            </w:pPr>
            <w:r w:rsidRPr="00B712C7">
              <w:rPr>
                <w:rFonts w:ascii="Arial" w:hAnsi="Arial" w:cs="Arial"/>
                <w:sz w:val="18"/>
                <w:szCs w:val="18"/>
              </w:rPr>
              <w:t>6.9</w:t>
            </w:r>
          </w:p>
          <w:p w:rsidRPr="00B712C7" w:rsidR="006D5460" w:rsidP="00686A68" w:rsidRDefault="006D5460" w14:paraId="777980FD" w14:textId="77777777">
            <w:pPr>
              <w:pStyle w:val="BodyTextSpaceAfter"/>
              <w:spacing w:before="60" w:after="60"/>
              <w:jc w:val="center"/>
              <w:rPr>
                <w:rFonts w:ascii="Arial" w:hAnsi="Arial" w:cs="Arial"/>
                <w:sz w:val="18"/>
                <w:szCs w:val="18"/>
              </w:rPr>
            </w:pPr>
            <w:r w:rsidRPr="00B712C7">
              <w:rPr>
                <w:rFonts w:ascii="Arial" w:hAnsi="Arial" w:cs="Arial"/>
                <w:sz w:val="18"/>
                <w:szCs w:val="18"/>
              </w:rPr>
              <w:t>4.1</w:t>
            </w:r>
          </w:p>
          <w:p w:rsidRPr="00B712C7" w:rsidR="006D5460" w:rsidP="00686A68" w:rsidRDefault="006D5460" w14:paraId="0DEC83CE" w14:textId="77777777">
            <w:pPr>
              <w:pStyle w:val="BodyTextSpaceAfter"/>
              <w:spacing w:before="60" w:after="60"/>
              <w:jc w:val="center"/>
              <w:rPr>
                <w:rFonts w:ascii="Arial" w:hAnsi="Arial" w:cs="Arial"/>
                <w:sz w:val="18"/>
                <w:szCs w:val="18"/>
              </w:rPr>
            </w:pPr>
            <w:r w:rsidRPr="00B712C7">
              <w:rPr>
                <w:rFonts w:ascii="Arial" w:hAnsi="Arial" w:cs="Arial"/>
                <w:sz w:val="18"/>
                <w:szCs w:val="18"/>
              </w:rPr>
              <w:t>2.2</w:t>
            </w:r>
          </w:p>
          <w:p w:rsidRPr="00B712C7" w:rsidR="006D5460" w:rsidP="00686A68" w:rsidRDefault="006D5460" w14:paraId="3A0B5359" w14:textId="77777777">
            <w:pPr>
              <w:pStyle w:val="BodyTextSpaceAfter"/>
              <w:spacing w:before="60" w:after="60"/>
              <w:jc w:val="center"/>
              <w:rPr>
                <w:rFonts w:ascii="Arial" w:hAnsi="Arial" w:cs="Arial"/>
                <w:sz w:val="18"/>
                <w:szCs w:val="18"/>
              </w:rPr>
            </w:pPr>
            <w:r w:rsidRPr="00B712C7">
              <w:rPr>
                <w:rFonts w:ascii="Arial" w:hAnsi="Arial" w:cs="Arial"/>
                <w:sz w:val="18"/>
                <w:szCs w:val="18"/>
              </w:rPr>
              <w:t>1.0</w:t>
            </w:r>
          </w:p>
          <w:p w:rsidRPr="00B712C7" w:rsidR="006D5460" w:rsidP="00686A68" w:rsidRDefault="006D5460" w14:paraId="30F67AC6" w14:textId="77777777">
            <w:pPr>
              <w:pStyle w:val="BodyTextSpaceAfter"/>
              <w:spacing w:before="60" w:after="60"/>
              <w:jc w:val="center"/>
              <w:rPr>
                <w:rFonts w:ascii="Arial" w:hAnsi="Arial" w:cs="Arial"/>
                <w:sz w:val="18"/>
                <w:szCs w:val="18"/>
              </w:rPr>
            </w:pPr>
            <w:r w:rsidRPr="00B712C7">
              <w:rPr>
                <w:rFonts w:ascii="Arial" w:hAnsi="Arial" w:cs="Arial"/>
                <w:sz w:val="18"/>
                <w:szCs w:val="18"/>
              </w:rPr>
              <w:t>0.4</w:t>
            </w:r>
          </w:p>
          <w:p w:rsidRPr="00B712C7" w:rsidR="006D5460" w:rsidP="00686A68" w:rsidRDefault="006D5460" w14:paraId="1C3468D4" w14:textId="3540BCCA">
            <w:pPr>
              <w:pStyle w:val="BodyTextSpaceAfter"/>
              <w:spacing w:before="60" w:after="60"/>
              <w:jc w:val="center"/>
              <w:rPr>
                <w:rFonts w:ascii="Arial" w:hAnsi="Arial" w:cs="Arial"/>
                <w:sz w:val="18"/>
                <w:szCs w:val="18"/>
              </w:rPr>
            </w:pPr>
            <w:r w:rsidRPr="00B712C7">
              <w:rPr>
                <w:rFonts w:ascii="Arial" w:hAnsi="Arial" w:cs="Arial"/>
                <w:sz w:val="18"/>
                <w:szCs w:val="18"/>
              </w:rPr>
              <w:t>0.2</w:t>
            </w:r>
          </w:p>
        </w:tc>
        <w:tc>
          <w:tcPr>
            <w:tcW w:w="1464" w:type="dxa"/>
            <w:tcBorders>
              <w:top w:val="single" w:color="auto" w:sz="4" w:space="0"/>
              <w:left w:val="nil"/>
              <w:bottom w:val="single" w:color="auto" w:sz="4" w:space="0"/>
              <w:right w:val="nil"/>
            </w:tcBorders>
            <w:vAlign w:val="bottom"/>
          </w:tcPr>
          <w:p w:rsidRPr="00B712C7" w:rsidR="00544CF2" w:rsidP="00DB4DE2" w:rsidRDefault="006D5460" w14:paraId="28565B06"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270</w:t>
            </w:r>
          </w:p>
          <w:p w:rsidRPr="00B712C7" w:rsidR="006D5460" w:rsidP="00DB4DE2" w:rsidRDefault="006D5460" w14:paraId="47D70F09"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3,952</w:t>
            </w:r>
          </w:p>
          <w:p w:rsidRPr="00B712C7" w:rsidR="006D5460" w:rsidP="00DB4DE2" w:rsidRDefault="006D5460" w14:paraId="6B9F1BFC"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4,686</w:t>
            </w:r>
          </w:p>
          <w:p w:rsidRPr="00B712C7" w:rsidR="006D5460" w:rsidP="00DB4DE2" w:rsidRDefault="006D5460" w14:paraId="20734C91"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3,391</w:t>
            </w:r>
          </w:p>
          <w:p w:rsidRPr="00B712C7" w:rsidR="006D5460" w:rsidP="00DB4DE2" w:rsidRDefault="006D5460" w14:paraId="63514BE5"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2,573</w:t>
            </w:r>
          </w:p>
          <w:p w:rsidRPr="00B712C7" w:rsidR="006D5460" w:rsidP="00DB4DE2" w:rsidRDefault="006D5460" w14:paraId="72635F72"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1,855</w:t>
            </w:r>
          </w:p>
          <w:p w:rsidRPr="00B712C7" w:rsidR="006D5460" w:rsidP="00DB4DE2" w:rsidRDefault="006D5460" w14:paraId="78C08982"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1,092</w:t>
            </w:r>
          </w:p>
          <w:p w:rsidRPr="00B712C7" w:rsidR="006D5460" w:rsidP="00DB4DE2" w:rsidRDefault="006D5460" w14:paraId="702C93C8"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573</w:t>
            </w:r>
          </w:p>
          <w:p w:rsidRPr="00B712C7" w:rsidR="006D5460" w:rsidP="00DB4DE2" w:rsidRDefault="006D5460" w14:paraId="01460216"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223</w:t>
            </w:r>
          </w:p>
          <w:p w:rsidRPr="00B712C7" w:rsidR="006D5460" w:rsidP="00DB4DE2" w:rsidRDefault="006D5460" w14:paraId="7DACFD17"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66</w:t>
            </w:r>
          </w:p>
          <w:p w:rsidRPr="00B712C7" w:rsidR="006D5460" w:rsidP="00DB4DE2" w:rsidRDefault="006D5460" w14:paraId="0797CF38"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31</w:t>
            </w:r>
          </w:p>
          <w:p w:rsidRPr="00B712C7" w:rsidR="006D5460" w:rsidP="00DB4DE2" w:rsidRDefault="006D5460" w14:paraId="3659B50B" w14:textId="0BF9C659">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7</w:t>
            </w:r>
          </w:p>
        </w:tc>
        <w:tc>
          <w:tcPr>
            <w:tcW w:w="1464" w:type="dxa"/>
            <w:tcBorders>
              <w:top w:val="single" w:color="auto" w:sz="4" w:space="0"/>
              <w:left w:val="nil"/>
              <w:bottom w:val="single" w:color="auto" w:sz="4" w:space="0"/>
              <w:right w:val="nil"/>
            </w:tcBorders>
            <w:vAlign w:val="bottom"/>
          </w:tcPr>
          <w:p w:rsidRPr="00B712C7" w:rsidR="00544CF2" w:rsidP="00DB4DE2" w:rsidRDefault="006D5460" w14:paraId="39C542DE" w14:textId="77777777">
            <w:pPr>
              <w:pStyle w:val="BodyTextSpaceAfter"/>
              <w:spacing w:before="60" w:after="60"/>
              <w:jc w:val="center"/>
              <w:rPr>
                <w:rFonts w:ascii="Arial" w:hAnsi="Arial" w:cs="Arial"/>
                <w:sz w:val="18"/>
                <w:szCs w:val="18"/>
              </w:rPr>
            </w:pPr>
            <w:r w:rsidRPr="00B712C7">
              <w:rPr>
                <w:rFonts w:ascii="Arial" w:hAnsi="Arial" w:cs="Arial"/>
                <w:sz w:val="18"/>
                <w:szCs w:val="18"/>
              </w:rPr>
              <w:t>1.4</w:t>
            </w:r>
          </w:p>
          <w:p w:rsidRPr="00B712C7" w:rsidR="006D5460" w:rsidP="00DB4DE2" w:rsidRDefault="006D5460" w14:paraId="1022D73F" w14:textId="77777777">
            <w:pPr>
              <w:pStyle w:val="BodyTextSpaceAfter"/>
              <w:spacing w:before="60" w:after="60"/>
              <w:jc w:val="center"/>
              <w:rPr>
                <w:rFonts w:ascii="Arial" w:hAnsi="Arial" w:cs="Arial"/>
                <w:sz w:val="18"/>
                <w:szCs w:val="18"/>
              </w:rPr>
            </w:pPr>
            <w:r w:rsidRPr="00B712C7">
              <w:rPr>
                <w:rFonts w:ascii="Arial" w:hAnsi="Arial" w:cs="Arial"/>
                <w:sz w:val="18"/>
                <w:szCs w:val="18"/>
              </w:rPr>
              <w:t>21.1</w:t>
            </w:r>
          </w:p>
          <w:p w:rsidRPr="00B712C7" w:rsidR="006D5460" w:rsidP="00DB4DE2" w:rsidRDefault="006D5460" w14:paraId="0B6AE3BE" w14:textId="77777777">
            <w:pPr>
              <w:pStyle w:val="BodyTextSpaceAfter"/>
              <w:spacing w:before="60" w:after="60"/>
              <w:jc w:val="center"/>
              <w:rPr>
                <w:rFonts w:ascii="Arial" w:hAnsi="Arial" w:cs="Arial"/>
                <w:sz w:val="18"/>
                <w:szCs w:val="18"/>
              </w:rPr>
            </w:pPr>
            <w:r w:rsidRPr="00B712C7">
              <w:rPr>
                <w:rFonts w:ascii="Arial" w:hAnsi="Arial" w:cs="Arial"/>
                <w:sz w:val="18"/>
                <w:szCs w:val="18"/>
              </w:rPr>
              <w:t>25.0</w:t>
            </w:r>
          </w:p>
          <w:p w:rsidRPr="00B712C7" w:rsidR="006D5460" w:rsidP="00DB4DE2" w:rsidRDefault="006D5460" w14:paraId="520963B7" w14:textId="77777777">
            <w:pPr>
              <w:pStyle w:val="BodyTextSpaceAfter"/>
              <w:spacing w:before="60" w:after="60"/>
              <w:jc w:val="center"/>
              <w:rPr>
                <w:rFonts w:ascii="Arial" w:hAnsi="Arial" w:cs="Arial"/>
                <w:sz w:val="18"/>
                <w:szCs w:val="18"/>
              </w:rPr>
            </w:pPr>
            <w:r w:rsidRPr="00B712C7">
              <w:rPr>
                <w:rFonts w:ascii="Arial" w:hAnsi="Arial" w:cs="Arial"/>
                <w:sz w:val="18"/>
                <w:szCs w:val="18"/>
              </w:rPr>
              <w:t>18.1</w:t>
            </w:r>
          </w:p>
          <w:p w:rsidRPr="00B712C7" w:rsidR="006D5460" w:rsidP="00DB4DE2" w:rsidRDefault="006D5460" w14:paraId="29ED096F" w14:textId="77777777">
            <w:pPr>
              <w:pStyle w:val="BodyTextSpaceAfter"/>
              <w:spacing w:before="60" w:after="60"/>
              <w:jc w:val="center"/>
              <w:rPr>
                <w:rFonts w:ascii="Arial" w:hAnsi="Arial" w:cs="Arial"/>
                <w:sz w:val="18"/>
                <w:szCs w:val="18"/>
              </w:rPr>
            </w:pPr>
            <w:r w:rsidRPr="00B712C7">
              <w:rPr>
                <w:rFonts w:ascii="Arial" w:hAnsi="Arial" w:cs="Arial"/>
                <w:sz w:val="18"/>
                <w:szCs w:val="18"/>
              </w:rPr>
              <w:t>13.8</w:t>
            </w:r>
          </w:p>
          <w:p w:rsidRPr="00B712C7" w:rsidR="006D5460" w:rsidP="00DB4DE2" w:rsidRDefault="006D5460" w14:paraId="7448F894" w14:textId="77777777">
            <w:pPr>
              <w:pStyle w:val="BodyTextSpaceAfter"/>
              <w:spacing w:before="60" w:after="60"/>
              <w:jc w:val="center"/>
              <w:rPr>
                <w:rFonts w:ascii="Arial" w:hAnsi="Arial" w:cs="Arial"/>
                <w:sz w:val="18"/>
                <w:szCs w:val="18"/>
              </w:rPr>
            </w:pPr>
            <w:r w:rsidRPr="00B712C7">
              <w:rPr>
                <w:rFonts w:ascii="Arial" w:hAnsi="Arial" w:cs="Arial"/>
                <w:sz w:val="18"/>
                <w:szCs w:val="18"/>
              </w:rPr>
              <w:t>9.9</w:t>
            </w:r>
          </w:p>
          <w:p w:rsidRPr="00B712C7" w:rsidR="006D5460" w:rsidP="00DB4DE2" w:rsidRDefault="006D5460" w14:paraId="60DC915D" w14:textId="77777777">
            <w:pPr>
              <w:pStyle w:val="BodyTextSpaceAfter"/>
              <w:spacing w:before="60" w:after="60"/>
              <w:jc w:val="center"/>
              <w:rPr>
                <w:rFonts w:ascii="Arial" w:hAnsi="Arial" w:cs="Arial"/>
                <w:sz w:val="18"/>
                <w:szCs w:val="18"/>
              </w:rPr>
            </w:pPr>
            <w:r w:rsidRPr="00B712C7">
              <w:rPr>
                <w:rFonts w:ascii="Arial" w:hAnsi="Arial" w:cs="Arial"/>
                <w:sz w:val="18"/>
                <w:szCs w:val="18"/>
              </w:rPr>
              <w:t>5.8</w:t>
            </w:r>
          </w:p>
          <w:p w:rsidRPr="00B712C7" w:rsidR="006D5460" w:rsidP="00DB4DE2" w:rsidRDefault="006D5460" w14:paraId="032CB011" w14:textId="77777777">
            <w:pPr>
              <w:pStyle w:val="BodyTextSpaceAfter"/>
              <w:spacing w:before="60" w:after="60"/>
              <w:jc w:val="center"/>
              <w:rPr>
                <w:rFonts w:ascii="Arial" w:hAnsi="Arial" w:cs="Arial"/>
                <w:sz w:val="18"/>
                <w:szCs w:val="18"/>
              </w:rPr>
            </w:pPr>
            <w:r w:rsidRPr="00B712C7">
              <w:rPr>
                <w:rFonts w:ascii="Arial" w:hAnsi="Arial" w:cs="Arial"/>
                <w:sz w:val="18"/>
                <w:szCs w:val="18"/>
              </w:rPr>
              <w:t>3.1</w:t>
            </w:r>
          </w:p>
          <w:p w:rsidRPr="00B712C7" w:rsidR="006D5460" w:rsidP="00DB4DE2" w:rsidRDefault="006D5460" w14:paraId="7CD3E513" w14:textId="77777777">
            <w:pPr>
              <w:pStyle w:val="BodyTextSpaceAfter"/>
              <w:spacing w:before="60" w:after="60"/>
              <w:jc w:val="center"/>
              <w:rPr>
                <w:rFonts w:ascii="Arial" w:hAnsi="Arial" w:cs="Arial"/>
                <w:sz w:val="18"/>
                <w:szCs w:val="18"/>
              </w:rPr>
            </w:pPr>
            <w:r w:rsidRPr="00B712C7">
              <w:rPr>
                <w:rFonts w:ascii="Arial" w:hAnsi="Arial" w:cs="Arial"/>
                <w:sz w:val="18"/>
                <w:szCs w:val="18"/>
              </w:rPr>
              <w:t>1.2</w:t>
            </w:r>
          </w:p>
          <w:p w:rsidRPr="00B712C7" w:rsidR="006D5460" w:rsidP="00DB4DE2" w:rsidRDefault="006D5460" w14:paraId="1744C1E3" w14:textId="77777777">
            <w:pPr>
              <w:pStyle w:val="BodyTextSpaceAfter"/>
              <w:spacing w:before="60" w:after="60"/>
              <w:jc w:val="center"/>
              <w:rPr>
                <w:rFonts w:ascii="Arial" w:hAnsi="Arial" w:cs="Arial"/>
                <w:sz w:val="18"/>
                <w:szCs w:val="18"/>
              </w:rPr>
            </w:pPr>
            <w:r w:rsidRPr="00B712C7">
              <w:rPr>
                <w:rFonts w:ascii="Arial" w:hAnsi="Arial" w:cs="Arial"/>
                <w:sz w:val="18"/>
                <w:szCs w:val="18"/>
              </w:rPr>
              <w:t>0.4</w:t>
            </w:r>
          </w:p>
          <w:p w:rsidRPr="00B712C7" w:rsidR="006D5460" w:rsidP="00DB4DE2" w:rsidRDefault="006D5460" w14:paraId="71644C5E" w14:textId="77777777">
            <w:pPr>
              <w:pStyle w:val="BodyTextSpaceAfter"/>
              <w:spacing w:before="60" w:after="60"/>
              <w:jc w:val="center"/>
              <w:rPr>
                <w:rFonts w:ascii="Arial" w:hAnsi="Arial" w:cs="Arial"/>
                <w:sz w:val="18"/>
                <w:szCs w:val="18"/>
              </w:rPr>
            </w:pPr>
            <w:r w:rsidRPr="00B712C7">
              <w:rPr>
                <w:rFonts w:ascii="Arial" w:hAnsi="Arial" w:cs="Arial"/>
                <w:sz w:val="18"/>
                <w:szCs w:val="18"/>
              </w:rPr>
              <w:t>0.2</w:t>
            </w:r>
          </w:p>
          <w:p w:rsidRPr="00B712C7" w:rsidR="006D5460" w:rsidP="00DB4DE2" w:rsidRDefault="006D5460" w14:paraId="61649B17" w14:textId="3D034734">
            <w:pPr>
              <w:pStyle w:val="BodyTextSpaceAfter"/>
              <w:spacing w:before="60" w:after="60"/>
              <w:jc w:val="center"/>
              <w:rPr>
                <w:rFonts w:ascii="Arial" w:hAnsi="Arial" w:cs="Arial"/>
                <w:sz w:val="18"/>
                <w:szCs w:val="18"/>
              </w:rPr>
            </w:pPr>
            <w:r w:rsidRPr="00B712C7">
              <w:rPr>
                <w:rFonts w:ascii="Arial" w:hAnsi="Arial" w:cs="Arial"/>
                <w:sz w:val="18"/>
                <w:szCs w:val="18"/>
              </w:rPr>
              <w:t>0.04</w:t>
            </w:r>
          </w:p>
        </w:tc>
        <w:tc>
          <w:tcPr>
            <w:tcW w:w="1253" w:type="dxa"/>
            <w:tcBorders>
              <w:top w:val="single" w:color="auto" w:sz="4" w:space="0"/>
              <w:left w:val="nil"/>
              <w:bottom w:val="single" w:color="auto" w:sz="4" w:space="0"/>
              <w:right w:val="nil"/>
            </w:tcBorders>
            <w:shd w:val="clear" w:color="auto" w:fill="E4D2E2"/>
          </w:tcPr>
          <w:p w:rsidRPr="00B712C7" w:rsidR="00F67154" w:rsidP="00DB4DE2" w:rsidRDefault="00F67154" w14:paraId="6B9EA24F" w14:textId="77777777">
            <w:pPr>
              <w:pStyle w:val="BodyTextSpaceAfter"/>
              <w:spacing w:before="60" w:after="60"/>
              <w:jc w:val="center"/>
              <w:rPr>
                <w:rFonts w:ascii="Arial" w:hAnsi="Arial" w:cs="Arial"/>
                <w:sz w:val="18"/>
                <w:szCs w:val="18"/>
              </w:rPr>
            </w:pPr>
            <w:r w:rsidRPr="00B712C7">
              <w:rPr>
                <w:rFonts w:ascii="Arial" w:hAnsi="Arial" w:cs="Arial"/>
                <w:sz w:val="18"/>
                <w:szCs w:val="18"/>
              </w:rPr>
              <w:t>&lt;.0001</w:t>
            </w:r>
            <w:r w:rsidRPr="00B712C7" w:rsidR="00794910">
              <w:rPr>
                <w:rStyle w:val="FootnoteReference"/>
                <w:rFonts w:ascii="Arial" w:hAnsi="Arial" w:cs="Arial"/>
                <w:sz w:val="18"/>
                <w:szCs w:val="18"/>
              </w:rPr>
              <w:footnoteReference w:id="3"/>
            </w:r>
          </w:p>
        </w:tc>
      </w:tr>
      <w:tr w:rsidRPr="00B712C7" w:rsidR="00F67154" w:rsidTr="00794910" w14:paraId="2A9448AF" w14:textId="77777777">
        <w:tc>
          <w:tcPr>
            <w:tcW w:w="2508" w:type="dxa"/>
            <w:tcBorders>
              <w:top w:val="single" w:color="auto" w:sz="4" w:space="0"/>
              <w:left w:val="nil"/>
              <w:bottom w:val="single" w:color="auto" w:sz="4" w:space="0"/>
              <w:right w:val="nil"/>
            </w:tcBorders>
          </w:tcPr>
          <w:p w:rsidRPr="00B712C7" w:rsidR="00F67154" w:rsidP="00DB4DE2" w:rsidRDefault="00F67154" w14:paraId="1E5F9CD2" w14:textId="2FD2974E">
            <w:pPr>
              <w:pStyle w:val="BodyTextSpaceAfter"/>
              <w:spacing w:before="60" w:after="60"/>
              <w:rPr>
                <w:rFonts w:ascii="Arial" w:hAnsi="Arial" w:cs="Arial"/>
                <w:b/>
                <w:sz w:val="18"/>
                <w:szCs w:val="18"/>
              </w:rPr>
            </w:pPr>
            <w:r w:rsidRPr="00B712C7">
              <w:rPr>
                <w:rFonts w:ascii="Arial" w:hAnsi="Arial" w:cs="Arial"/>
                <w:b/>
                <w:sz w:val="18"/>
                <w:szCs w:val="18"/>
              </w:rPr>
              <w:t>Employment Status</w:t>
            </w:r>
            <w:r w:rsidRPr="00B712C7" w:rsidR="00794910">
              <w:rPr>
                <w:rFonts w:ascii="Arial" w:hAnsi="Arial" w:cs="Arial"/>
                <w:b/>
                <w:sz w:val="18"/>
                <w:szCs w:val="18"/>
              </w:rPr>
              <w:t xml:space="preserve"> (</w:t>
            </w:r>
            <w:r w:rsidRPr="00B712C7" w:rsidR="00794910">
              <w:rPr>
                <w:rFonts w:ascii="Arial" w:hAnsi="Arial" w:cs="Arial"/>
                <w:b/>
                <w:i/>
                <w:sz w:val="18"/>
                <w:szCs w:val="18"/>
              </w:rPr>
              <w:t>n</w:t>
            </w:r>
            <w:r w:rsidRPr="00B712C7" w:rsidR="000E2BA2">
              <w:rPr>
                <w:rFonts w:ascii="Arial" w:hAnsi="Arial" w:cs="Arial"/>
                <w:b/>
                <w:sz w:val="18"/>
                <w:szCs w:val="18"/>
              </w:rPr>
              <w:t>=53,440</w:t>
            </w:r>
            <w:r w:rsidRPr="00B712C7" w:rsidR="00794910">
              <w:rPr>
                <w:rFonts w:ascii="Arial" w:hAnsi="Arial" w:cs="Arial"/>
                <w:b/>
                <w:sz w:val="18"/>
                <w:szCs w:val="18"/>
              </w:rPr>
              <w:t>)</w:t>
            </w:r>
          </w:p>
          <w:p w:rsidRPr="00B712C7" w:rsidR="00F67154" w:rsidP="00DB4DE2" w:rsidRDefault="00F67154" w14:paraId="550FF6B6" w14:textId="77777777">
            <w:pPr>
              <w:pStyle w:val="BodyTextSpaceAfter"/>
              <w:spacing w:before="60" w:after="60"/>
              <w:rPr>
                <w:rFonts w:ascii="Arial" w:hAnsi="Arial" w:cs="Arial"/>
                <w:sz w:val="18"/>
                <w:szCs w:val="18"/>
              </w:rPr>
            </w:pPr>
            <w:r w:rsidRPr="00B712C7">
              <w:rPr>
                <w:rFonts w:ascii="Arial" w:hAnsi="Arial" w:cs="Arial"/>
                <w:sz w:val="18"/>
                <w:szCs w:val="18"/>
              </w:rPr>
              <w:t>Employed</w:t>
            </w:r>
          </w:p>
          <w:p w:rsidRPr="00B712C7" w:rsidR="00F67154" w:rsidP="00DB4DE2" w:rsidRDefault="00F67154" w14:paraId="60787676" w14:textId="77777777">
            <w:pPr>
              <w:pStyle w:val="BodyTextSpaceAfter"/>
              <w:spacing w:before="60" w:after="60"/>
              <w:rPr>
                <w:rFonts w:ascii="Arial" w:hAnsi="Arial" w:cs="Arial"/>
                <w:sz w:val="18"/>
                <w:szCs w:val="18"/>
              </w:rPr>
            </w:pPr>
            <w:r w:rsidRPr="00B712C7">
              <w:rPr>
                <w:rFonts w:ascii="Arial" w:hAnsi="Arial" w:cs="Arial"/>
                <w:sz w:val="18"/>
                <w:szCs w:val="18"/>
              </w:rPr>
              <w:t>Unemployed</w:t>
            </w:r>
          </w:p>
          <w:p w:rsidRPr="00B712C7" w:rsidR="00F67154" w:rsidP="00DB4DE2" w:rsidRDefault="00F67154" w14:paraId="08657E9D" w14:textId="77777777">
            <w:pPr>
              <w:pStyle w:val="BodyTextSpaceAfter"/>
              <w:spacing w:before="60" w:after="60"/>
              <w:rPr>
                <w:rFonts w:ascii="Arial" w:hAnsi="Arial" w:cs="Arial"/>
                <w:sz w:val="18"/>
                <w:szCs w:val="18"/>
              </w:rPr>
            </w:pPr>
            <w:r w:rsidRPr="00B712C7">
              <w:rPr>
                <w:rFonts w:ascii="Arial" w:hAnsi="Arial" w:cs="Arial"/>
                <w:sz w:val="18"/>
                <w:szCs w:val="18"/>
              </w:rPr>
              <w:t>Students</w:t>
            </w:r>
          </w:p>
        </w:tc>
        <w:tc>
          <w:tcPr>
            <w:tcW w:w="1464" w:type="dxa"/>
            <w:tcBorders>
              <w:top w:val="single" w:color="auto" w:sz="4" w:space="0"/>
              <w:left w:val="nil"/>
              <w:bottom w:val="single" w:color="auto" w:sz="4" w:space="0"/>
              <w:right w:val="nil"/>
            </w:tcBorders>
            <w:shd w:val="clear" w:color="auto" w:fill="E4D2E2"/>
            <w:vAlign w:val="bottom"/>
          </w:tcPr>
          <w:p w:rsidRPr="00B712C7" w:rsidR="00544CF2" w:rsidP="00DB4DE2" w:rsidRDefault="006D5460" w14:paraId="50CB5226"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19,010</w:t>
            </w:r>
          </w:p>
          <w:p w:rsidRPr="00B712C7" w:rsidR="006D5460" w:rsidP="00DB4DE2" w:rsidRDefault="006D5460" w14:paraId="698C39CD"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12,150</w:t>
            </w:r>
          </w:p>
          <w:p w:rsidRPr="00B712C7" w:rsidR="006D5460" w:rsidP="00DB4DE2" w:rsidRDefault="006D5460" w14:paraId="77AC95D1" w14:textId="6335DB24">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4,639</w:t>
            </w:r>
          </w:p>
        </w:tc>
        <w:tc>
          <w:tcPr>
            <w:tcW w:w="1464" w:type="dxa"/>
            <w:tcBorders>
              <w:top w:val="single" w:color="auto" w:sz="4" w:space="0"/>
              <w:left w:val="nil"/>
              <w:bottom w:val="single" w:color="auto" w:sz="4" w:space="0"/>
              <w:right w:val="nil"/>
            </w:tcBorders>
            <w:shd w:val="clear" w:color="auto" w:fill="E4D2E2"/>
            <w:vAlign w:val="bottom"/>
          </w:tcPr>
          <w:p w:rsidRPr="00B712C7" w:rsidR="00544CF2" w:rsidP="00DB4DE2" w:rsidRDefault="006D5460" w14:paraId="3F88E59B" w14:textId="77777777">
            <w:pPr>
              <w:pStyle w:val="BodyTextSpaceAfter"/>
              <w:spacing w:before="60" w:after="60"/>
              <w:jc w:val="center"/>
              <w:rPr>
                <w:rFonts w:ascii="Arial" w:hAnsi="Arial" w:cs="Arial"/>
                <w:sz w:val="18"/>
                <w:szCs w:val="18"/>
              </w:rPr>
            </w:pPr>
            <w:r w:rsidRPr="00B712C7">
              <w:rPr>
                <w:rFonts w:ascii="Arial" w:hAnsi="Arial" w:cs="Arial"/>
                <w:sz w:val="18"/>
                <w:szCs w:val="18"/>
              </w:rPr>
              <w:t>53.1</w:t>
            </w:r>
          </w:p>
          <w:p w:rsidRPr="00B712C7" w:rsidR="006D5460" w:rsidP="00DB4DE2" w:rsidRDefault="006D5460" w14:paraId="1ED849D1" w14:textId="77777777">
            <w:pPr>
              <w:pStyle w:val="BodyTextSpaceAfter"/>
              <w:spacing w:before="60" w:after="60"/>
              <w:jc w:val="center"/>
              <w:rPr>
                <w:rFonts w:ascii="Arial" w:hAnsi="Arial" w:cs="Arial"/>
                <w:sz w:val="18"/>
                <w:szCs w:val="18"/>
              </w:rPr>
            </w:pPr>
            <w:r w:rsidRPr="00B712C7">
              <w:rPr>
                <w:rFonts w:ascii="Arial" w:hAnsi="Arial" w:cs="Arial"/>
                <w:sz w:val="18"/>
                <w:szCs w:val="18"/>
              </w:rPr>
              <w:t>33.9</w:t>
            </w:r>
          </w:p>
          <w:p w:rsidRPr="00B712C7" w:rsidR="006D5460" w:rsidP="00DB4DE2" w:rsidRDefault="006D5460" w14:paraId="581750EF" w14:textId="63A7AAE3">
            <w:pPr>
              <w:pStyle w:val="BodyTextSpaceAfter"/>
              <w:spacing w:before="60" w:after="60"/>
              <w:jc w:val="center"/>
              <w:rPr>
                <w:rFonts w:ascii="Arial" w:hAnsi="Arial" w:cs="Arial"/>
                <w:sz w:val="18"/>
                <w:szCs w:val="18"/>
              </w:rPr>
            </w:pPr>
            <w:r w:rsidRPr="00B712C7">
              <w:rPr>
                <w:rFonts w:ascii="Arial" w:hAnsi="Arial" w:cs="Arial"/>
                <w:sz w:val="18"/>
                <w:szCs w:val="18"/>
              </w:rPr>
              <w:t>13.0</w:t>
            </w:r>
          </w:p>
        </w:tc>
        <w:tc>
          <w:tcPr>
            <w:tcW w:w="1464" w:type="dxa"/>
            <w:tcBorders>
              <w:top w:val="single" w:color="auto" w:sz="4" w:space="0"/>
              <w:left w:val="nil"/>
              <w:bottom w:val="single" w:color="auto" w:sz="4" w:space="0"/>
              <w:right w:val="nil"/>
            </w:tcBorders>
            <w:vAlign w:val="bottom"/>
          </w:tcPr>
          <w:p w:rsidRPr="00B712C7" w:rsidR="00544CF2" w:rsidP="00DB4DE2" w:rsidRDefault="006D5460" w14:paraId="777FFDB8"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9,800</w:t>
            </w:r>
          </w:p>
          <w:p w:rsidRPr="00B712C7" w:rsidR="006D5460" w:rsidP="00DB4DE2" w:rsidRDefault="006D5460" w14:paraId="0F83711D"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6,989</w:t>
            </w:r>
          </w:p>
          <w:p w:rsidRPr="00B712C7" w:rsidR="006D5460" w:rsidP="00DB4DE2" w:rsidRDefault="006D5460" w14:paraId="77496D72" w14:textId="7DD88E94">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852</w:t>
            </w:r>
          </w:p>
        </w:tc>
        <w:tc>
          <w:tcPr>
            <w:tcW w:w="1464" w:type="dxa"/>
            <w:tcBorders>
              <w:top w:val="single" w:color="auto" w:sz="4" w:space="0"/>
              <w:left w:val="nil"/>
              <w:bottom w:val="single" w:color="auto" w:sz="4" w:space="0"/>
              <w:right w:val="nil"/>
            </w:tcBorders>
            <w:vAlign w:val="bottom"/>
          </w:tcPr>
          <w:p w:rsidRPr="00B712C7" w:rsidR="00544CF2" w:rsidP="00DB4DE2" w:rsidRDefault="006D5460" w14:paraId="65787CD0" w14:textId="77777777">
            <w:pPr>
              <w:pStyle w:val="BodyTextSpaceAfter"/>
              <w:spacing w:before="60" w:after="60"/>
              <w:jc w:val="center"/>
              <w:rPr>
                <w:rFonts w:ascii="Arial" w:hAnsi="Arial" w:cs="Arial"/>
                <w:sz w:val="18"/>
                <w:szCs w:val="18"/>
              </w:rPr>
            </w:pPr>
            <w:r w:rsidRPr="00B712C7">
              <w:rPr>
                <w:rFonts w:ascii="Arial" w:hAnsi="Arial" w:cs="Arial"/>
                <w:sz w:val="18"/>
                <w:szCs w:val="18"/>
              </w:rPr>
              <w:t>55.6</w:t>
            </w:r>
          </w:p>
          <w:p w:rsidRPr="00B712C7" w:rsidR="006D5460" w:rsidP="00DB4DE2" w:rsidRDefault="006D5460" w14:paraId="27AF7A90" w14:textId="77777777">
            <w:pPr>
              <w:pStyle w:val="BodyTextSpaceAfter"/>
              <w:spacing w:before="60" w:after="60"/>
              <w:jc w:val="center"/>
              <w:rPr>
                <w:rFonts w:ascii="Arial" w:hAnsi="Arial" w:cs="Arial"/>
                <w:sz w:val="18"/>
                <w:szCs w:val="18"/>
              </w:rPr>
            </w:pPr>
            <w:r w:rsidRPr="00B712C7">
              <w:rPr>
                <w:rFonts w:ascii="Arial" w:hAnsi="Arial" w:cs="Arial"/>
                <w:sz w:val="18"/>
                <w:szCs w:val="18"/>
              </w:rPr>
              <w:t>39.6</w:t>
            </w:r>
          </w:p>
          <w:p w:rsidRPr="00B712C7" w:rsidR="006D5460" w:rsidP="00DB4DE2" w:rsidRDefault="006D5460" w14:paraId="6ABA3316" w14:textId="4D6B593B">
            <w:pPr>
              <w:pStyle w:val="BodyTextSpaceAfter"/>
              <w:spacing w:before="60" w:after="60"/>
              <w:jc w:val="center"/>
              <w:rPr>
                <w:rFonts w:ascii="Arial" w:hAnsi="Arial" w:cs="Arial"/>
                <w:sz w:val="18"/>
                <w:szCs w:val="18"/>
              </w:rPr>
            </w:pPr>
            <w:r w:rsidRPr="00B712C7">
              <w:rPr>
                <w:rFonts w:ascii="Arial" w:hAnsi="Arial" w:cs="Arial"/>
                <w:sz w:val="18"/>
                <w:szCs w:val="18"/>
              </w:rPr>
              <w:t>4.8</w:t>
            </w:r>
          </w:p>
        </w:tc>
        <w:tc>
          <w:tcPr>
            <w:tcW w:w="1253" w:type="dxa"/>
            <w:tcBorders>
              <w:top w:val="single" w:color="auto" w:sz="4" w:space="0"/>
              <w:left w:val="nil"/>
              <w:bottom w:val="single" w:color="auto" w:sz="4" w:space="0"/>
              <w:right w:val="nil"/>
            </w:tcBorders>
            <w:shd w:val="clear" w:color="auto" w:fill="E4D2E2"/>
          </w:tcPr>
          <w:p w:rsidRPr="00B712C7" w:rsidR="00F67154" w:rsidP="00DB4DE2" w:rsidRDefault="00F67154" w14:paraId="0446C8DC" w14:textId="77777777">
            <w:pPr>
              <w:pStyle w:val="BodyTextSpaceAfter"/>
              <w:spacing w:before="60" w:after="60"/>
              <w:jc w:val="center"/>
              <w:rPr>
                <w:rFonts w:ascii="Arial" w:hAnsi="Arial" w:cs="Arial"/>
                <w:sz w:val="18"/>
                <w:szCs w:val="18"/>
              </w:rPr>
            </w:pPr>
            <w:r w:rsidRPr="00B712C7">
              <w:rPr>
                <w:rFonts w:ascii="Arial" w:hAnsi="Arial" w:cs="Arial"/>
                <w:sz w:val="18"/>
                <w:szCs w:val="18"/>
              </w:rPr>
              <w:t>&lt;.0001</w:t>
            </w:r>
            <w:r w:rsidRPr="00B712C7" w:rsidR="00794910">
              <w:rPr>
                <w:rStyle w:val="FootnoteReference"/>
                <w:rFonts w:ascii="Arial" w:hAnsi="Arial" w:cs="Arial"/>
                <w:sz w:val="18"/>
                <w:szCs w:val="18"/>
              </w:rPr>
              <w:footnoteReference w:id="4"/>
            </w:r>
          </w:p>
        </w:tc>
      </w:tr>
      <w:tr w:rsidRPr="00B712C7" w:rsidR="00F67154" w:rsidTr="0082436F" w14:paraId="36C5ECF0" w14:textId="77777777">
        <w:tc>
          <w:tcPr>
            <w:tcW w:w="2508" w:type="dxa"/>
            <w:tcBorders>
              <w:top w:val="single" w:color="auto" w:sz="4" w:space="0"/>
              <w:left w:val="nil"/>
              <w:bottom w:val="single" w:color="auto" w:sz="4" w:space="0"/>
              <w:right w:val="nil"/>
            </w:tcBorders>
          </w:tcPr>
          <w:p w:rsidRPr="00B712C7" w:rsidR="00F67154" w:rsidP="00DB4DE2" w:rsidRDefault="00F67154" w14:paraId="15B53439" w14:textId="11FDB73D">
            <w:pPr>
              <w:pStyle w:val="BodyTextSpaceAfter"/>
              <w:spacing w:before="60" w:after="60"/>
              <w:rPr>
                <w:rFonts w:ascii="Arial" w:hAnsi="Arial" w:cs="Arial"/>
                <w:b/>
                <w:sz w:val="18"/>
                <w:szCs w:val="18"/>
              </w:rPr>
            </w:pPr>
            <w:r w:rsidRPr="00B712C7">
              <w:rPr>
                <w:rFonts w:ascii="Arial" w:hAnsi="Arial" w:cs="Arial"/>
                <w:b/>
                <w:sz w:val="18"/>
                <w:szCs w:val="18"/>
              </w:rPr>
              <w:t xml:space="preserve">Relationship Status </w:t>
            </w:r>
            <w:r w:rsidRPr="00B712C7" w:rsidR="00794910">
              <w:rPr>
                <w:rFonts w:ascii="Arial" w:hAnsi="Arial" w:cs="Arial"/>
                <w:b/>
                <w:sz w:val="18"/>
                <w:szCs w:val="18"/>
              </w:rPr>
              <w:t>(</w:t>
            </w:r>
            <w:r w:rsidRPr="00B712C7" w:rsidR="00794910">
              <w:rPr>
                <w:rFonts w:ascii="Arial" w:hAnsi="Arial" w:cs="Arial"/>
                <w:b/>
                <w:i/>
                <w:sz w:val="18"/>
                <w:szCs w:val="18"/>
              </w:rPr>
              <w:t>n</w:t>
            </w:r>
            <w:r w:rsidRPr="00B712C7" w:rsidR="000E2BA2">
              <w:rPr>
                <w:rFonts w:ascii="Arial" w:hAnsi="Arial" w:cs="Arial"/>
                <w:b/>
                <w:sz w:val="18"/>
                <w:szCs w:val="18"/>
              </w:rPr>
              <w:t>=48,442</w:t>
            </w:r>
            <w:r w:rsidRPr="00B712C7" w:rsidR="00794910">
              <w:rPr>
                <w:rFonts w:ascii="Arial" w:hAnsi="Arial" w:cs="Arial"/>
                <w:b/>
                <w:sz w:val="18"/>
                <w:szCs w:val="18"/>
              </w:rPr>
              <w:t>)</w:t>
            </w:r>
          </w:p>
          <w:p w:rsidRPr="00B712C7" w:rsidR="00F67154" w:rsidP="00DB4DE2" w:rsidRDefault="00794910" w14:paraId="63A12F98" w14:textId="77777777">
            <w:pPr>
              <w:pStyle w:val="BodyTextSpaceAfter"/>
              <w:spacing w:before="60" w:after="60"/>
              <w:rPr>
                <w:rFonts w:ascii="Arial" w:hAnsi="Arial" w:cs="Arial"/>
                <w:sz w:val="18"/>
                <w:szCs w:val="18"/>
              </w:rPr>
            </w:pPr>
            <w:r w:rsidRPr="00B712C7">
              <w:rPr>
                <w:rFonts w:ascii="Arial" w:hAnsi="Arial" w:cs="Arial"/>
                <w:sz w:val="18"/>
                <w:szCs w:val="18"/>
              </w:rPr>
              <w:t>Single</w:t>
            </w:r>
          </w:p>
          <w:p w:rsidRPr="00B712C7" w:rsidR="00794910" w:rsidP="00DB4DE2" w:rsidRDefault="00794910" w14:paraId="39ABBF99" w14:textId="77777777">
            <w:pPr>
              <w:pStyle w:val="BodyTextSpaceAfter"/>
              <w:spacing w:before="60" w:after="60"/>
              <w:rPr>
                <w:rFonts w:ascii="Arial" w:hAnsi="Arial" w:cs="Arial"/>
                <w:sz w:val="18"/>
                <w:szCs w:val="18"/>
              </w:rPr>
            </w:pPr>
            <w:r w:rsidRPr="00B712C7">
              <w:rPr>
                <w:rFonts w:ascii="Arial" w:hAnsi="Arial" w:cs="Arial"/>
                <w:sz w:val="18"/>
                <w:szCs w:val="18"/>
              </w:rPr>
              <w:t>Partner</w:t>
            </w:r>
          </w:p>
        </w:tc>
        <w:tc>
          <w:tcPr>
            <w:tcW w:w="1464" w:type="dxa"/>
            <w:tcBorders>
              <w:top w:val="single" w:color="auto" w:sz="4" w:space="0"/>
              <w:left w:val="nil"/>
              <w:bottom w:val="single" w:color="auto" w:sz="4" w:space="0"/>
              <w:right w:val="nil"/>
            </w:tcBorders>
            <w:shd w:val="clear" w:color="auto" w:fill="E4D2E2"/>
            <w:vAlign w:val="bottom"/>
          </w:tcPr>
          <w:p w:rsidRPr="00B712C7" w:rsidR="00544CF2" w:rsidP="00DB4DE2" w:rsidRDefault="006D5460" w14:paraId="07230C60"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25,760</w:t>
            </w:r>
          </w:p>
          <w:p w:rsidRPr="00B712C7" w:rsidR="006D5460" w:rsidP="00DB4DE2" w:rsidRDefault="006D5460" w14:paraId="5A20B2D0" w14:textId="699B2116">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6,876</w:t>
            </w:r>
          </w:p>
        </w:tc>
        <w:tc>
          <w:tcPr>
            <w:tcW w:w="1464" w:type="dxa"/>
            <w:tcBorders>
              <w:top w:val="single" w:color="auto" w:sz="4" w:space="0"/>
              <w:left w:val="nil"/>
              <w:bottom w:val="single" w:color="auto" w:sz="4" w:space="0"/>
              <w:right w:val="nil"/>
            </w:tcBorders>
            <w:shd w:val="clear" w:color="auto" w:fill="E4D2E2"/>
            <w:vAlign w:val="bottom"/>
          </w:tcPr>
          <w:p w:rsidRPr="00B712C7" w:rsidR="00544CF2" w:rsidP="00DB4DE2" w:rsidRDefault="006D5460" w14:paraId="39094E98" w14:textId="77777777">
            <w:pPr>
              <w:pStyle w:val="BodyTextSpaceAfter"/>
              <w:spacing w:before="60" w:after="60"/>
              <w:jc w:val="center"/>
              <w:rPr>
                <w:rFonts w:ascii="Arial" w:hAnsi="Arial" w:cs="Arial"/>
                <w:sz w:val="18"/>
                <w:szCs w:val="18"/>
              </w:rPr>
            </w:pPr>
            <w:r w:rsidRPr="00B712C7">
              <w:rPr>
                <w:rFonts w:ascii="Arial" w:hAnsi="Arial" w:cs="Arial"/>
                <w:sz w:val="18"/>
                <w:szCs w:val="18"/>
              </w:rPr>
              <w:t>78.9</w:t>
            </w:r>
          </w:p>
          <w:p w:rsidRPr="00B712C7" w:rsidR="006D5460" w:rsidP="00DB4DE2" w:rsidRDefault="006D5460" w14:paraId="3915E6C5" w14:textId="198E6ED7">
            <w:pPr>
              <w:pStyle w:val="BodyTextSpaceAfter"/>
              <w:spacing w:before="60" w:after="60"/>
              <w:jc w:val="center"/>
              <w:rPr>
                <w:rFonts w:ascii="Arial" w:hAnsi="Arial" w:cs="Arial"/>
                <w:sz w:val="18"/>
                <w:szCs w:val="18"/>
              </w:rPr>
            </w:pPr>
            <w:r w:rsidRPr="00B712C7">
              <w:rPr>
                <w:rFonts w:ascii="Arial" w:hAnsi="Arial" w:cs="Arial"/>
                <w:sz w:val="18"/>
                <w:szCs w:val="18"/>
              </w:rPr>
              <w:t>21.1</w:t>
            </w:r>
          </w:p>
        </w:tc>
        <w:tc>
          <w:tcPr>
            <w:tcW w:w="1464" w:type="dxa"/>
            <w:tcBorders>
              <w:top w:val="single" w:color="auto" w:sz="4" w:space="0"/>
              <w:left w:val="nil"/>
              <w:bottom w:val="single" w:color="auto" w:sz="4" w:space="0"/>
              <w:right w:val="nil"/>
            </w:tcBorders>
            <w:vAlign w:val="bottom"/>
          </w:tcPr>
          <w:p w:rsidRPr="00B712C7" w:rsidR="00544CF2" w:rsidP="00DB4DE2" w:rsidRDefault="006D5460" w14:paraId="4B4B6032" w14:textId="77777777">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12,350</w:t>
            </w:r>
          </w:p>
          <w:p w:rsidRPr="00B712C7" w:rsidR="006D5460" w:rsidP="00DB4DE2" w:rsidRDefault="006D5460" w14:paraId="5A2A657F" w14:textId="5A1C5535">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3,456</w:t>
            </w:r>
          </w:p>
        </w:tc>
        <w:tc>
          <w:tcPr>
            <w:tcW w:w="1464" w:type="dxa"/>
            <w:tcBorders>
              <w:top w:val="single" w:color="auto" w:sz="4" w:space="0"/>
              <w:left w:val="nil"/>
              <w:bottom w:val="single" w:color="auto" w:sz="4" w:space="0"/>
              <w:right w:val="nil"/>
            </w:tcBorders>
            <w:vAlign w:val="bottom"/>
          </w:tcPr>
          <w:p w:rsidRPr="00B712C7" w:rsidR="00544CF2" w:rsidP="00DB4DE2" w:rsidRDefault="006D5460" w14:paraId="4A1EC7C1" w14:textId="77777777">
            <w:pPr>
              <w:pStyle w:val="BodyTextSpaceAfter"/>
              <w:spacing w:before="60" w:after="60"/>
              <w:jc w:val="center"/>
              <w:rPr>
                <w:rFonts w:ascii="Arial" w:hAnsi="Arial" w:cs="Arial"/>
                <w:sz w:val="18"/>
                <w:szCs w:val="18"/>
              </w:rPr>
            </w:pPr>
            <w:r w:rsidRPr="00B712C7">
              <w:rPr>
                <w:rFonts w:ascii="Arial" w:hAnsi="Arial" w:cs="Arial"/>
                <w:sz w:val="18"/>
                <w:szCs w:val="18"/>
              </w:rPr>
              <w:t>78.1</w:t>
            </w:r>
          </w:p>
          <w:p w:rsidRPr="00B712C7" w:rsidR="006D5460" w:rsidP="00DB4DE2" w:rsidRDefault="006D5460" w14:paraId="250CE6BA" w14:textId="11664A2B">
            <w:pPr>
              <w:pStyle w:val="BodyTextSpaceAfter"/>
              <w:spacing w:before="60" w:after="60"/>
              <w:jc w:val="center"/>
              <w:rPr>
                <w:rFonts w:ascii="Arial" w:hAnsi="Arial" w:cs="Arial"/>
                <w:sz w:val="18"/>
                <w:szCs w:val="18"/>
              </w:rPr>
            </w:pPr>
            <w:r w:rsidRPr="00B712C7">
              <w:rPr>
                <w:rFonts w:ascii="Arial" w:hAnsi="Arial" w:cs="Arial"/>
                <w:sz w:val="18"/>
                <w:szCs w:val="18"/>
              </w:rPr>
              <w:t>21.9</w:t>
            </w:r>
          </w:p>
        </w:tc>
        <w:tc>
          <w:tcPr>
            <w:tcW w:w="1253" w:type="dxa"/>
            <w:tcBorders>
              <w:top w:val="single" w:color="auto" w:sz="4" w:space="0"/>
              <w:left w:val="nil"/>
              <w:bottom w:val="single" w:color="auto" w:sz="4" w:space="0"/>
              <w:right w:val="nil"/>
            </w:tcBorders>
            <w:shd w:val="clear" w:color="auto" w:fill="E4D2E2"/>
          </w:tcPr>
          <w:p w:rsidRPr="00B712C7" w:rsidR="00F67154" w:rsidP="001F770F" w:rsidRDefault="001F770F" w14:paraId="7AFC2936" w14:textId="77777777">
            <w:pPr>
              <w:pStyle w:val="BodyTextSpaceAfter"/>
              <w:spacing w:before="60" w:after="60"/>
              <w:jc w:val="center"/>
              <w:rPr>
                <w:rFonts w:ascii="Arial" w:hAnsi="Arial" w:cs="Arial"/>
                <w:sz w:val="18"/>
                <w:szCs w:val="18"/>
              </w:rPr>
            </w:pPr>
            <w:r w:rsidRPr="00B712C7">
              <w:rPr>
                <w:rFonts w:ascii="Arial" w:hAnsi="Arial" w:cs="Arial"/>
                <w:sz w:val="18"/>
                <w:szCs w:val="18"/>
              </w:rPr>
              <w:t>0.02</w:t>
            </w:r>
            <w:r w:rsidRPr="00B712C7" w:rsidR="00794910">
              <w:rPr>
                <w:rStyle w:val="FootnoteReference"/>
                <w:rFonts w:ascii="Arial" w:hAnsi="Arial" w:cs="Arial"/>
                <w:sz w:val="18"/>
                <w:szCs w:val="18"/>
              </w:rPr>
              <w:footnoteReference w:id="5"/>
            </w:r>
          </w:p>
        </w:tc>
      </w:tr>
      <w:tr w:rsidRPr="00B712C7" w:rsidR="004222B7" w:rsidTr="0082436F" w14:paraId="550B0D96" w14:textId="77777777">
        <w:tc>
          <w:tcPr>
            <w:tcW w:w="2508" w:type="dxa"/>
            <w:tcBorders>
              <w:top w:val="single" w:color="auto" w:sz="4" w:space="0"/>
              <w:left w:val="nil"/>
              <w:bottom w:val="single" w:color="auto" w:sz="4" w:space="0"/>
              <w:right w:val="nil"/>
            </w:tcBorders>
          </w:tcPr>
          <w:p w:rsidRPr="00B712C7" w:rsidR="004222B7" w:rsidP="00DB4DE2" w:rsidRDefault="004222B7" w14:paraId="621F7173" w14:textId="19E215AD">
            <w:pPr>
              <w:pStyle w:val="BodyTextSpaceAfter"/>
              <w:spacing w:before="60" w:after="60"/>
              <w:rPr>
                <w:rFonts w:ascii="Arial" w:hAnsi="Arial" w:cs="Arial"/>
                <w:b/>
                <w:sz w:val="18"/>
                <w:szCs w:val="18"/>
              </w:rPr>
            </w:pPr>
            <w:r w:rsidRPr="00B712C7">
              <w:rPr>
                <w:rFonts w:ascii="Arial" w:hAnsi="Arial" w:cs="Arial"/>
                <w:b/>
                <w:sz w:val="18"/>
                <w:szCs w:val="18"/>
              </w:rPr>
              <w:t xml:space="preserve">Total </w:t>
            </w:r>
            <w:r w:rsidRPr="00B712C7" w:rsidR="00631424">
              <w:rPr>
                <w:rFonts w:ascii="Arial" w:hAnsi="Arial" w:cs="Arial"/>
                <w:b/>
                <w:sz w:val="18"/>
                <w:szCs w:val="18"/>
              </w:rPr>
              <w:t>(</w:t>
            </w:r>
            <w:r w:rsidRPr="00B712C7" w:rsidR="00631424">
              <w:rPr>
                <w:rFonts w:ascii="Arial" w:hAnsi="Arial" w:cs="Arial"/>
                <w:b/>
                <w:i/>
                <w:sz w:val="18"/>
                <w:szCs w:val="18"/>
              </w:rPr>
              <w:t>N</w:t>
            </w:r>
            <w:r w:rsidRPr="00B712C7">
              <w:rPr>
                <w:rFonts w:ascii="Arial" w:hAnsi="Arial" w:cs="Arial"/>
                <w:b/>
                <w:sz w:val="18"/>
                <w:szCs w:val="18"/>
              </w:rPr>
              <w:t>=</w:t>
            </w:r>
            <w:r w:rsidRPr="00B712C7" w:rsidR="007E13AD">
              <w:rPr>
                <w:rFonts w:ascii="Arial" w:hAnsi="Arial" w:cs="Arial"/>
                <w:b/>
                <w:sz w:val="18"/>
                <w:szCs w:val="18"/>
              </w:rPr>
              <w:t>66,210)</w:t>
            </w:r>
          </w:p>
        </w:tc>
        <w:tc>
          <w:tcPr>
            <w:tcW w:w="1464" w:type="dxa"/>
            <w:tcBorders>
              <w:top w:val="single" w:color="auto" w:sz="4" w:space="0"/>
              <w:left w:val="nil"/>
              <w:bottom w:val="single" w:color="auto" w:sz="4" w:space="0"/>
              <w:right w:val="nil"/>
            </w:tcBorders>
            <w:shd w:val="clear" w:color="auto" w:fill="E4D2E2"/>
            <w:vAlign w:val="bottom"/>
          </w:tcPr>
          <w:p w:rsidRPr="00B712C7" w:rsidR="004222B7" w:rsidP="00DB4DE2" w:rsidRDefault="00464981" w14:paraId="6B5046CE" w14:textId="3377C014">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47,417</w:t>
            </w:r>
          </w:p>
        </w:tc>
        <w:tc>
          <w:tcPr>
            <w:tcW w:w="1464" w:type="dxa"/>
            <w:tcBorders>
              <w:top w:val="single" w:color="auto" w:sz="4" w:space="0"/>
              <w:left w:val="nil"/>
              <w:bottom w:val="single" w:color="auto" w:sz="4" w:space="0"/>
              <w:right w:val="nil"/>
            </w:tcBorders>
            <w:shd w:val="clear" w:color="auto" w:fill="E4D2E2"/>
            <w:vAlign w:val="bottom"/>
          </w:tcPr>
          <w:p w:rsidRPr="00B712C7" w:rsidR="004222B7" w:rsidP="00DB4DE2" w:rsidRDefault="00464981" w14:paraId="01B93A9C" w14:textId="5B97D4F0">
            <w:pPr>
              <w:pStyle w:val="BodyTextSpaceAfter"/>
              <w:spacing w:before="60" w:after="60"/>
              <w:jc w:val="center"/>
              <w:rPr>
                <w:rFonts w:ascii="Arial" w:hAnsi="Arial" w:cs="Arial"/>
                <w:sz w:val="18"/>
                <w:szCs w:val="18"/>
              </w:rPr>
            </w:pPr>
            <w:r w:rsidRPr="00B712C7">
              <w:rPr>
                <w:rFonts w:ascii="Arial" w:hAnsi="Arial" w:cs="Arial"/>
                <w:sz w:val="18"/>
                <w:szCs w:val="18"/>
              </w:rPr>
              <w:t>71.6</w:t>
            </w:r>
          </w:p>
        </w:tc>
        <w:tc>
          <w:tcPr>
            <w:tcW w:w="1464" w:type="dxa"/>
            <w:tcBorders>
              <w:top w:val="single" w:color="auto" w:sz="4" w:space="0"/>
              <w:left w:val="nil"/>
              <w:bottom w:val="single" w:color="auto" w:sz="4" w:space="0"/>
              <w:right w:val="nil"/>
            </w:tcBorders>
            <w:vAlign w:val="bottom"/>
          </w:tcPr>
          <w:p w:rsidRPr="00B712C7" w:rsidR="004222B7" w:rsidP="00DB4DE2" w:rsidRDefault="00464981" w14:paraId="3A0A2A32" w14:textId="6A6B2ECD">
            <w:pPr>
              <w:pStyle w:val="BodyTextSpaceAfter"/>
              <w:spacing w:before="60" w:after="60"/>
              <w:jc w:val="center"/>
              <w:rPr>
                <w:rFonts w:ascii="Arial" w:hAnsi="Arial" w:cs="Arial"/>
                <w:color w:val="auto"/>
                <w:sz w:val="18"/>
                <w:szCs w:val="18"/>
              </w:rPr>
            </w:pPr>
            <w:r w:rsidRPr="00B712C7">
              <w:rPr>
                <w:rFonts w:ascii="Arial" w:hAnsi="Arial" w:cs="Arial"/>
                <w:color w:val="auto"/>
                <w:sz w:val="18"/>
                <w:szCs w:val="18"/>
              </w:rPr>
              <w:t>18,793</w:t>
            </w:r>
          </w:p>
        </w:tc>
        <w:tc>
          <w:tcPr>
            <w:tcW w:w="1464" w:type="dxa"/>
            <w:tcBorders>
              <w:top w:val="single" w:color="auto" w:sz="4" w:space="0"/>
              <w:left w:val="nil"/>
              <w:bottom w:val="single" w:color="auto" w:sz="4" w:space="0"/>
              <w:right w:val="nil"/>
            </w:tcBorders>
            <w:vAlign w:val="bottom"/>
          </w:tcPr>
          <w:p w:rsidRPr="00B712C7" w:rsidR="004222B7" w:rsidP="00DB4DE2" w:rsidRDefault="00464981" w14:paraId="33018A7F" w14:textId="702E8C48">
            <w:pPr>
              <w:pStyle w:val="BodyTextSpaceAfter"/>
              <w:spacing w:before="60" w:after="60"/>
              <w:jc w:val="center"/>
              <w:rPr>
                <w:rFonts w:ascii="Arial" w:hAnsi="Arial" w:cs="Arial"/>
                <w:sz w:val="18"/>
                <w:szCs w:val="18"/>
              </w:rPr>
            </w:pPr>
            <w:r w:rsidRPr="00B712C7">
              <w:rPr>
                <w:rFonts w:ascii="Arial" w:hAnsi="Arial" w:cs="Arial"/>
                <w:sz w:val="18"/>
                <w:szCs w:val="18"/>
              </w:rPr>
              <w:t>28.4</w:t>
            </w:r>
          </w:p>
        </w:tc>
        <w:tc>
          <w:tcPr>
            <w:tcW w:w="1253" w:type="dxa"/>
            <w:tcBorders>
              <w:top w:val="single" w:color="auto" w:sz="4" w:space="0"/>
              <w:left w:val="nil"/>
              <w:bottom w:val="nil"/>
              <w:right w:val="nil"/>
            </w:tcBorders>
            <w:shd w:val="clear" w:color="auto" w:fill="auto"/>
          </w:tcPr>
          <w:p w:rsidRPr="00B712C7" w:rsidR="004222B7" w:rsidP="00DB4DE2" w:rsidRDefault="004222B7" w14:paraId="5D2AFBCF" w14:textId="77777777">
            <w:pPr>
              <w:pStyle w:val="BodyTextSpaceAfter"/>
              <w:spacing w:before="60" w:after="60"/>
              <w:jc w:val="center"/>
              <w:rPr>
                <w:rFonts w:ascii="Arial" w:hAnsi="Arial" w:cs="Arial"/>
                <w:sz w:val="18"/>
                <w:szCs w:val="18"/>
              </w:rPr>
            </w:pPr>
          </w:p>
        </w:tc>
      </w:tr>
    </w:tbl>
    <w:p w:rsidRPr="00B712C7" w:rsidR="000E4AB3" w:rsidP="000E4AB3" w:rsidRDefault="000E4AB3" w14:paraId="466BB246" w14:textId="77777777">
      <w:pPr>
        <w:pStyle w:val="ListParagraph"/>
        <w:widowControl w:val="false"/>
        <w:suppressAutoHyphens/>
        <w:autoSpaceDE w:val="false"/>
        <w:autoSpaceDN w:val="false"/>
        <w:adjustRightInd w:val="false"/>
        <w:spacing w:before="170" w:after="57" w:line="300" w:lineRule="atLeast"/>
        <w:ind w:left="-567"/>
        <w:textAlignment w:val="center"/>
        <w:outlineLvl w:val="2"/>
        <w:rPr>
          <w:rFonts w:ascii="Arial" w:hAnsi="Arial" w:eastAsia="MS Mincho" w:cs="Arial"/>
          <w:color w:val="808080"/>
          <w:sz w:val="26"/>
          <w:szCs w:val="26"/>
          <w:lang w:val="en-GB"/>
        </w:rPr>
      </w:pPr>
    </w:p>
    <w:p w:rsidRPr="00B712C7" w:rsidR="00762568" w:rsidP="000D2F7B" w:rsidRDefault="00762568" w14:paraId="24152815" w14:textId="77777777">
      <w:pPr>
        <w:pStyle w:val="ListParagraph"/>
        <w:widowControl w:val="false"/>
        <w:suppressAutoHyphens/>
        <w:autoSpaceDE w:val="false"/>
        <w:autoSpaceDN w:val="false"/>
        <w:adjustRightInd w:val="false"/>
        <w:spacing w:before="170" w:after="57" w:line="300" w:lineRule="atLeast"/>
        <w:ind w:left="-567" w:firstLine="567"/>
        <w:textAlignment w:val="center"/>
        <w:outlineLvl w:val="2"/>
        <w:rPr>
          <w:rFonts w:ascii="Arial" w:hAnsi="Arial" w:eastAsia="MS Mincho" w:cs="Arial"/>
          <w:color w:val="808080"/>
          <w:sz w:val="26"/>
          <w:szCs w:val="26"/>
          <w:lang w:val="en-GB"/>
        </w:rPr>
      </w:pPr>
      <w:r w:rsidRPr="00B712C7">
        <w:rPr>
          <w:rFonts w:ascii="Arial" w:hAnsi="Arial" w:eastAsia="MS Mincho" w:cs="Arial"/>
          <w:color w:val="808080"/>
          <w:sz w:val="26"/>
          <w:szCs w:val="26"/>
          <w:lang w:val="en-GB"/>
        </w:rPr>
        <w:t xml:space="preserve">Discussion </w:t>
      </w:r>
    </w:p>
    <w:p w:rsidRPr="00B712C7" w:rsidR="009C764C" w:rsidP="00762568" w:rsidRDefault="00145B6F" w14:paraId="5AAF7961" w14:textId="7AD25FDD">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 xml:space="preserve">Overall, the rate of drug use and possession offences and </w:t>
      </w:r>
      <w:r w:rsidRPr="00B712C7" w:rsidR="0057281C">
        <w:rPr>
          <w:rFonts w:ascii="Arial" w:hAnsi="Arial" w:eastAsia="MS Mincho" w:cs="Arial"/>
        </w:rPr>
        <w:t xml:space="preserve">related </w:t>
      </w:r>
      <w:r w:rsidRPr="00B712C7">
        <w:rPr>
          <w:rFonts w:ascii="Arial" w:hAnsi="Arial" w:eastAsia="MS Mincho" w:cs="Arial"/>
        </w:rPr>
        <w:t xml:space="preserve">unique offenders has increased over the past ten years. </w:t>
      </w:r>
      <w:r w:rsidRPr="00B712C7" w:rsidR="00CE3D9C">
        <w:rPr>
          <w:rFonts w:ascii="Arial" w:hAnsi="Arial" w:eastAsia="MS Mincho" w:cs="Arial"/>
        </w:rPr>
        <w:t>These tre</w:t>
      </w:r>
      <w:r w:rsidRPr="00B712C7" w:rsidR="00741D1D">
        <w:rPr>
          <w:rFonts w:ascii="Arial" w:hAnsi="Arial" w:eastAsia="MS Mincho" w:cs="Arial"/>
        </w:rPr>
        <w:t>nds are particularly apparent over the past five years and t</w:t>
      </w:r>
      <w:r w:rsidRPr="00B712C7">
        <w:rPr>
          <w:rFonts w:ascii="Arial" w:hAnsi="Arial" w:eastAsia="MS Mincho" w:cs="Arial"/>
        </w:rPr>
        <w:t>he rate of offences has</w:t>
      </w:r>
      <w:r w:rsidRPr="00B712C7" w:rsidR="00CE3D9C">
        <w:rPr>
          <w:rFonts w:ascii="Arial" w:hAnsi="Arial" w:eastAsia="MS Mincho" w:cs="Arial"/>
        </w:rPr>
        <w:t xml:space="preserve"> increased to a greater extent than the rate of unique offenders. </w:t>
      </w:r>
      <w:r w:rsidRPr="00B712C7" w:rsidR="0057281C">
        <w:rPr>
          <w:rFonts w:ascii="Arial" w:hAnsi="Arial" w:eastAsia="MS Mincho" w:cs="Arial"/>
        </w:rPr>
        <w:t>T</w:t>
      </w:r>
      <w:r w:rsidRPr="00B712C7">
        <w:rPr>
          <w:rFonts w:ascii="Arial" w:hAnsi="Arial" w:eastAsia="MS Mincho" w:cs="Arial"/>
        </w:rPr>
        <w:t xml:space="preserve">he increases appear to have slowed </w:t>
      </w:r>
      <w:r w:rsidRPr="00B712C7" w:rsidR="009C764C">
        <w:rPr>
          <w:rFonts w:ascii="Arial" w:hAnsi="Arial" w:eastAsia="MS Mincho" w:cs="Arial"/>
        </w:rPr>
        <w:t xml:space="preserve">over the past two years. Continued monitoring of these rates </w:t>
      </w:r>
      <w:r w:rsidRPr="00B712C7" w:rsidR="00DC3B4D">
        <w:rPr>
          <w:rFonts w:ascii="Arial" w:hAnsi="Arial" w:eastAsia="MS Mincho" w:cs="Arial"/>
        </w:rPr>
        <w:t xml:space="preserve">in the coming </w:t>
      </w:r>
      <w:r w:rsidRPr="00B712C7" w:rsidR="009C764C">
        <w:rPr>
          <w:rFonts w:ascii="Arial" w:hAnsi="Arial" w:eastAsia="MS Mincho" w:cs="Arial"/>
        </w:rPr>
        <w:t xml:space="preserve">years will enable an assessment of whether the observed increases since 2010 have now stabilised. The </w:t>
      </w:r>
      <w:r w:rsidRPr="00B712C7" w:rsidR="00317691">
        <w:rPr>
          <w:rFonts w:ascii="Arial" w:hAnsi="Arial" w:eastAsia="MS Mincho" w:cs="Arial"/>
        </w:rPr>
        <w:t>rate</w:t>
      </w:r>
      <w:r w:rsidRPr="00B712C7" w:rsidR="009C764C">
        <w:rPr>
          <w:rFonts w:ascii="Arial" w:hAnsi="Arial" w:eastAsia="MS Mincho" w:cs="Arial"/>
        </w:rPr>
        <w:t xml:space="preserve"> of new offenders </w:t>
      </w:r>
      <w:r w:rsidRPr="00B712C7" w:rsidR="00B21061">
        <w:rPr>
          <w:rFonts w:ascii="Arial" w:hAnsi="Arial" w:eastAsia="MS Mincho" w:cs="Arial"/>
        </w:rPr>
        <w:t xml:space="preserve">coming into contact with police </w:t>
      </w:r>
      <w:r w:rsidRPr="00B712C7" w:rsidR="009C764C">
        <w:rPr>
          <w:rFonts w:ascii="Arial" w:hAnsi="Arial" w:eastAsia="MS Mincho" w:cs="Arial"/>
        </w:rPr>
        <w:t>has also s</w:t>
      </w:r>
      <w:r w:rsidRPr="00B712C7" w:rsidR="00BB69E8">
        <w:rPr>
          <w:rFonts w:ascii="Arial" w:hAnsi="Arial" w:eastAsia="MS Mincho" w:cs="Arial"/>
        </w:rPr>
        <w:t>lowed somewhat since 2013.</w:t>
      </w:r>
      <w:r w:rsidRPr="00B712C7" w:rsidR="00DC3B4D">
        <w:rPr>
          <w:rFonts w:ascii="Arial" w:hAnsi="Arial" w:eastAsia="MS Mincho" w:cs="Arial"/>
        </w:rPr>
        <w:t xml:space="preserve"> T</w:t>
      </w:r>
      <w:r w:rsidRPr="00B712C7" w:rsidR="009C764C">
        <w:rPr>
          <w:rFonts w:ascii="Arial" w:hAnsi="Arial" w:eastAsia="MS Mincho" w:cs="Arial"/>
        </w:rPr>
        <w:t xml:space="preserve">he number of people who commit </w:t>
      </w:r>
      <w:r w:rsidRPr="00B712C7" w:rsidR="000E4AB3">
        <w:rPr>
          <w:rFonts w:ascii="Arial" w:hAnsi="Arial" w:eastAsia="MS Mincho" w:cs="Arial"/>
        </w:rPr>
        <w:t xml:space="preserve">a drug use and possession offence on more than </w:t>
      </w:r>
      <w:r w:rsidRPr="00B712C7" w:rsidR="000E4AB3">
        <w:rPr>
          <w:rFonts w:ascii="Arial" w:hAnsi="Arial" w:eastAsia="MS Mincho" w:cs="Arial"/>
        </w:rPr>
        <w:lastRenderedPageBreak/>
        <w:t>one occasion</w:t>
      </w:r>
      <w:r w:rsidRPr="00B712C7" w:rsidR="009C764C">
        <w:rPr>
          <w:rFonts w:ascii="Arial" w:hAnsi="Arial" w:eastAsia="MS Mincho" w:cs="Arial"/>
        </w:rPr>
        <w:t xml:space="preserve"> per year has increased year on year over the past five years. </w:t>
      </w:r>
    </w:p>
    <w:p w:rsidRPr="00B712C7" w:rsidR="003652DB" w:rsidP="00762568" w:rsidRDefault="0057281C" w14:paraId="18D07095" w14:textId="705F8FB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Given that crime statistics may</w:t>
      </w:r>
      <w:r w:rsidRPr="00B712C7" w:rsidR="00867AF9">
        <w:rPr>
          <w:rFonts w:ascii="Arial" w:hAnsi="Arial" w:eastAsia="MS Mincho" w:cs="Arial"/>
        </w:rPr>
        <w:t xml:space="preserve"> not </w:t>
      </w:r>
      <w:r w:rsidRPr="00B712C7">
        <w:rPr>
          <w:rFonts w:ascii="Arial" w:hAnsi="Arial" w:eastAsia="MS Mincho" w:cs="Arial"/>
        </w:rPr>
        <w:t xml:space="preserve">be </w:t>
      </w:r>
      <w:r w:rsidRPr="00B712C7" w:rsidR="00867AF9">
        <w:rPr>
          <w:rFonts w:ascii="Arial" w:hAnsi="Arial" w:eastAsia="MS Mincho" w:cs="Arial"/>
        </w:rPr>
        <w:t>an accurate me</w:t>
      </w:r>
      <w:r w:rsidRPr="00B712C7">
        <w:rPr>
          <w:rFonts w:ascii="Arial" w:hAnsi="Arial" w:eastAsia="MS Mincho" w:cs="Arial"/>
        </w:rPr>
        <w:t xml:space="preserve">asure of the underlying incidence of offending </w:t>
      </w:r>
      <w:r w:rsidRPr="00B712C7" w:rsidR="00B21061">
        <w:rPr>
          <w:rFonts w:ascii="Arial" w:hAnsi="Arial" w:eastAsia="MS Mincho" w:cs="Arial"/>
        </w:rPr>
        <w:t xml:space="preserve">or of drug use, </w:t>
      </w:r>
      <w:r w:rsidRPr="00B712C7">
        <w:rPr>
          <w:rFonts w:ascii="Arial" w:hAnsi="Arial" w:eastAsia="MS Mincho" w:cs="Arial"/>
        </w:rPr>
        <w:t>and other data sources suggest</w:t>
      </w:r>
      <w:r w:rsidRPr="00B712C7" w:rsidR="00867AF9">
        <w:rPr>
          <w:rFonts w:ascii="Arial" w:hAnsi="Arial" w:eastAsia="MS Mincho" w:cs="Arial"/>
        </w:rPr>
        <w:t xml:space="preserve"> the number of people using drugs has remained stable</w:t>
      </w:r>
      <w:r w:rsidRPr="00B712C7" w:rsidR="00A91C65">
        <w:rPr>
          <w:rFonts w:ascii="Arial" w:hAnsi="Arial" w:eastAsia="MS Mincho" w:cs="Arial"/>
        </w:rPr>
        <w:t xml:space="preserve">, </w:t>
      </w:r>
      <w:r w:rsidRPr="00B712C7">
        <w:rPr>
          <w:rFonts w:ascii="Arial" w:hAnsi="Arial" w:eastAsia="MS Mincho" w:cs="Arial"/>
        </w:rPr>
        <w:t>a limitation of this analysis</w:t>
      </w:r>
      <w:r w:rsidRPr="00B712C7" w:rsidR="0054434F">
        <w:rPr>
          <w:rFonts w:ascii="Arial" w:hAnsi="Arial" w:eastAsia="MS Mincho" w:cs="Arial"/>
        </w:rPr>
        <w:t xml:space="preserve"> is tha</w:t>
      </w:r>
      <w:r w:rsidRPr="00B712C7">
        <w:rPr>
          <w:rFonts w:ascii="Arial" w:hAnsi="Arial" w:eastAsia="MS Mincho" w:cs="Arial"/>
        </w:rPr>
        <w:t>t it cannot be used to explain</w:t>
      </w:r>
      <w:r w:rsidRPr="00B712C7" w:rsidR="0054434F">
        <w:rPr>
          <w:rFonts w:ascii="Arial" w:hAnsi="Arial" w:eastAsia="MS Mincho" w:cs="Arial"/>
        </w:rPr>
        <w:t xml:space="preserve"> </w:t>
      </w:r>
      <w:r w:rsidRPr="00B712C7" w:rsidR="00A91C65">
        <w:rPr>
          <w:rFonts w:ascii="Arial" w:hAnsi="Arial" w:eastAsia="MS Mincho" w:cs="Arial"/>
        </w:rPr>
        <w:t>the</w:t>
      </w:r>
      <w:r w:rsidRPr="00B712C7" w:rsidR="00A47713">
        <w:rPr>
          <w:rFonts w:ascii="Arial" w:hAnsi="Arial" w:eastAsia="MS Mincho" w:cs="Arial"/>
        </w:rPr>
        <w:t xml:space="preserve"> </w:t>
      </w:r>
      <w:r w:rsidRPr="00B712C7" w:rsidR="00A91C65">
        <w:rPr>
          <w:rFonts w:ascii="Arial" w:hAnsi="Arial" w:eastAsia="MS Mincho" w:cs="Arial"/>
        </w:rPr>
        <w:t xml:space="preserve">precise </w:t>
      </w:r>
      <w:r w:rsidRPr="00B712C7" w:rsidR="00A47713">
        <w:rPr>
          <w:rFonts w:ascii="Arial" w:hAnsi="Arial" w:eastAsia="MS Mincho" w:cs="Arial"/>
        </w:rPr>
        <w:t xml:space="preserve">reason for the increase in recorded drug use and possession crime. </w:t>
      </w:r>
      <w:r w:rsidRPr="00B712C7" w:rsidR="001A229B">
        <w:rPr>
          <w:rFonts w:ascii="Arial" w:hAnsi="Arial" w:eastAsia="MS Mincho" w:cs="Arial"/>
        </w:rPr>
        <w:t>The observed</w:t>
      </w:r>
      <w:r w:rsidRPr="00B712C7" w:rsidR="00E335A8">
        <w:rPr>
          <w:rFonts w:ascii="Arial" w:hAnsi="Arial" w:eastAsia="MS Mincho" w:cs="Arial"/>
        </w:rPr>
        <w:t xml:space="preserve"> increases may be driven by a numbe</w:t>
      </w:r>
      <w:r w:rsidRPr="00B712C7" w:rsidR="003652DB">
        <w:rPr>
          <w:rFonts w:ascii="Arial" w:hAnsi="Arial" w:eastAsia="MS Mincho" w:cs="Arial"/>
        </w:rPr>
        <w:t>r of</w:t>
      </w:r>
      <w:r w:rsidRPr="00B712C7" w:rsidR="00A91C65">
        <w:rPr>
          <w:rFonts w:ascii="Arial" w:hAnsi="Arial" w:eastAsia="MS Mincho" w:cs="Arial"/>
        </w:rPr>
        <w:t xml:space="preserve"> potential</w:t>
      </w:r>
      <w:r w:rsidRPr="00B712C7" w:rsidR="003652DB">
        <w:rPr>
          <w:rFonts w:ascii="Arial" w:hAnsi="Arial" w:eastAsia="MS Mincho" w:cs="Arial"/>
        </w:rPr>
        <w:t xml:space="preserve"> factors including</w:t>
      </w:r>
      <w:r w:rsidRPr="00B712C7" w:rsidR="00032FB9">
        <w:rPr>
          <w:rFonts w:ascii="Arial" w:hAnsi="Arial" w:eastAsia="MS Mincho" w:cs="Arial"/>
        </w:rPr>
        <w:t>, for example</w:t>
      </w:r>
      <w:r w:rsidRPr="00B712C7" w:rsidR="00CE3D9C">
        <w:rPr>
          <w:rFonts w:ascii="Arial" w:hAnsi="Arial" w:eastAsia="MS Mincho" w:cs="Arial"/>
        </w:rPr>
        <w:t>, any combination</w:t>
      </w:r>
      <w:r w:rsidRPr="00B712C7" w:rsidR="00032FB9">
        <w:rPr>
          <w:rFonts w:ascii="Arial" w:hAnsi="Arial" w:eastAsia="MS Mincho" w:cs="Arial"/>
        </w:rPr>
        <w:t xml:space="preserve"> of the following:</w:t>
      </w:r>
    </w:p>
    <w:p w:rsidRPr="00B712C7" w:rsidR="00A71CFD" w:rsidP="00A71CFD" w:rsidRDefault="009D632D" w14:paraId="194DBAD4" w14:textId="3A0E4878">
      <w:pPr>
        <w:pStyle w:val="ListParagraph"/>
        <w:widowControl w:val="false"/>
        <w:numPr>
          <w:ilvl w:val="0"/>
          <w:numId w:val="3"/>
        </w:numPr>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i</w:t>
      </w:r>
      <w:r w:rsidRPr="00B712C7" w:rsidR="00A71CFD">
        <w:rPr>
          <w:rFonts w:ascii="Arial" w:hAnsi="Arial" w:eastAsia="MS Mincho" w:cs="Arial"/>
        </w:rPr>
        <w:t>ncreased police presence at locations where drug use is</w:t>
      </w:r>
      <w:r w:rsidRPr="00B712C7" w:rsidR="00741D1D">
        <w:rPr>
          <w:rFonts w:ascii="Arial" w:hAnsi="Arial" w:eastAsia="MS Mincho" w:cs="Arial"/>
        </w:rPr>
        <w:t xml:space="preserve"> more</w:t>
      </w:r>
      <w:r w:rsidRPr="00B712C7" w:rsidR="00A71CFD">
        <w:rPr>
          <w:rFonts w:ascii="Arial" w:hAnsi="Arial" w:eastAsia="MS Mincho" w:cs="Arial"/>
        </w:rPr>
        <w:t xml:space="preserve"> prevalent</w:t>
      </w:r>
      <w:r w:rsidRPr="00B712C7" w:rsidR="00741D1D">
        <w:rPr>
          <w:rFonts w:ascii="Arial" w:hAnsi="Arial" w:eastAsia="MS Mincho" w:cs="Arial"/>
        </w:rPr>
        <w:t xml:space="preserve"> and public</w:t>
      </w:r>
    </w:p>
    <w:p w:rsidRPr="00B712C7" w:rsidR="0054434F" w:rsidP="0054434F" w:rsidRDefault="009D632D" w14:paraId="1B5A9988" w14:textId="01056DE7">
      <w:pPr>
        <w:pStyle w:val="ListParagraph"/>
        <w:widowControl w:val="false"/>
        <w:numPr>
          <w:ilvl w:val="0"/>
          <w:numId w:val="3"/>
        </w:numPr>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an</w:t>
      </w:r>
      <w:r w:rsidRPr="00B712C7" w:rsidR="0054434F">
        <w:rPr>
          <w:rFonts w:ascii="Arial" w:hAnsi="Arial" w:eastAsia="MS Mincho" w:cs="Arial"/>
        </w:rPr>
        <w:t xml:space="preserve"> increase in the number of police off</w:t>
      </w:r>
      <w:r w:rsidRPr="00B712C7">
        <w:rPr>
          <w:rFonts w:ascii="Arial" w:hAnsi="Arial" w:eastAsia="MS Mincho" w:cs="Arial"/>
        </w:rPr>
        <w:t>icers employed across Victoria</w:t>
      </w:r>
    </w:p>
    <w:p w:rsidRPr="00B712C7" w:rsidR="006C1651" w:rsidP="006C1651" w:rsidRDefault="009D632D" w14:paraId="5605064B" w14:textId="5A8E2CF2">
      <w:pPr>
        <w:pStyle w:val="ListParagraph"/>
        <w:widowControl w:val="false"/>
        <w:numPr>
          <w:ilvl w:val="0"/>
          <w:numId w:val="3"/>
        </w:numPr>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i</w:t>
      </w:r>
      <w:r w:rsidRPr="00B712C7" w:rsidR="00381975">
        <w:rPr>
          <w:rFonts w:ascii="Arial" w:hAnsi="Arial" w:eastAsia="MS Mincho" w:cs="Arial"/>
        </w:rPr>
        <w:t>ncreased</w:t>
      </w:r>
      <w:r w:rsidRPr="00B712C7" w:rsidR="006C1651">
        <w:rPr>
          <w:rFonts w:ascii="Arial" w:hAnsi="Arial" w:eastAsia="MS Mincho" w:cs="Arial"/>
        </w:rPr>
        <w:t xml:space="preserve"> visibility of drug use or possession</w:t>
      </w:r>
      <w:r w:rsidRPr="00B712C7" w:rsidR="00381975">
        <w:rPr>
          <w:rFonts w:ascii="Arial" w:hAnsi="Arial" w:eastAsia="MS Mincho" w:cs="Arial"/>
        </w:rPr>
        <w:t xml:space="preserve"> (i.e., increased drug use in public places)</w:t>
      </w:r>
    </w:p>
    <w:p w:rsidRPr="00B712C7" w:rsidR="00317691" w:rsidP="00A71CFD" w:rsidRDefault="009D632D" w14:paraId="19CF5CB1" w14:textId="035D2423">
      <w:pPr>
        <w:pStyle w:val="ListParagraph"/>
        <w:widowControl w:val="false"/>
        <w:numPr>
          <w:ilvl w:val="0"/>
          <w:numId w:val="3"/>
        </w:numPr>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i</w:t>
      </w:r>
      <w:r w:rsidRPr="00B712C7" w:rsidR="006C1651">
        <w:rPr>
          <w:rFonts w:ascii="Arial" w:hAnsi="Arial" w:eastAsia="MS Mincho" w:cs="Arial"/>
        </w:rPr>
        <w:t xml:space="preserve">ncreased </w:t>
      </w:r>
      <w:r w:rsidRPr="00B712C7" w:rsidR="00317691">
        <w:rPr>
          <w:rFonts w:ascii="Arial" w:hAnsi="Arial" w:eastAsia="MS Mincho" w:cs="Arial"/>
        </w:rPr>
        <w:t xml:space="preserve">focus on policing other crime types (for example, </w:t>
      </w:r>
      <w:r w:rsidRPr="00B712C7" w:rsidR="00A91C65">
        <w:rPr>
          <w:rFonts w:ascii="Arial" w:hAnsi="Arial" w:eastAsia="MS Mincho" w:cs="Arial"/>
        </w:rPr>
        <w:t>family violence</w:t>
      </w:r>
      <w:r w:rsidRPr="00B712C7" w:rsidR="00741D1D">
        <w:rPr>
          <w:rFonts w:ascii="Arial" w:hAnsi="Arial" w:eastAsia="MS Mincho" w:cs="Arial"/>
        </w:rPr>
        <w:t>) that may</w:t>
      </w:r>
      <w:r w:rsidRPr="00B712C7" w:rsidR="00317691">
        <w:rPr>
          <w:rFonts w:ascii="Arial" w:hAnsi="Arial" w:eastAsia="MS Mincho" w:cs="Arial"/>
        </w:rPr>
        <w:t xml:space="preserve"> co-occ</w:t>
      </w:r>
      <w:r w:rsidRPr="00B712C7">
        <w:rPr>
          <w:rFonts w:ascii="Arial" w:hAnsi="Arial" w:eastAsia="MS Mincho" w:cs="Arial"/>
        </w:rPr>
        <w:t>ur with drug use and possession</w:t>
      </w:r>
    </w:p>
    <w:p w:rsidRPr="00B712C7" w:rsidR="00C0754B" w:rsidP="003652DB" w:rsidRDefault="009D632D" w14:paraId="4323A5ED" w14:textId="5C0410F3">
      <w:pPr>
        <w:pStyle w:val="ListParagraph"/>
        <w:widowControl w:val="false"/>
        <w:numPr>
          <w:ilvl w:val="0"/>
          <w:numId w:val="3"/>
        </w:numPr>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i</w:t>
      </w:r>
      <w:r w:rsidRPr="00B712C7" w:rsidR="00032FB9">
        <w:rPr>
          <w:rFonts w:ascii="Arial" w:hAnsi="Arial" w:eastAsia="MS Mincho" w:cs="Arial"/>
        </w:rPr>
        <w:t xml:space="preserve">ncreases in the </w:t>
      </w:r>
      <w:r w:rsidRPr="00B712C7" w:rsidR="003652DB">
        <w:rPr>
          <w:rFonts w:ascii="Arial" w:hAnsi="Arial" w:eastAsia="MS Mincho" w:cs="Arial"/>
        </w:rPr>
        <w:t>frequency of dru</w:t>
      </w:r>
      <w:r w:rsidRPr="00B712C7" w:rsidR="00867AF9">
        <w:rPr>
          <w:rFonts w:ascii="Arial" w:hAnsi="Arial" w:eastAsia="MS Mincho" w:cs="Arial"/>
        </w:rPr>
        <w:t xml:space="preserve">g use amongst drug users. </w:t>
      </w:r>
    </w:p>
    <w:p w:rsidRPr="00B712C7" w:rsidR="00952F4D" w:rsidP="000D49C7" w:rsidRDefault="0057281C" w14:paraId="7D0090E4" w14:textId="6D47A9FB">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T</w:t>
      </w:r>
      <w:r w:rsidRPr="00B712C7" w:rsidR="0054434F">
        <w:rPr>
          <w:rFonts w:ascii="Arial" w:hAnsi="Arial" w:eastAsia="MS Mincho" w:cs="Arial"/>
        </w:rPr>
        <w:t xml:space="preserve">his paper is the first in a series of papers that will continue to </w:t>
      </w:r>
      <w:r w:rsidRPr="00B712C7">
        <w:rPr>
          <w:rFonts w:ascii="Arial" w:hAnsi="Arial" w:eastAsia="MS Mincho" w:cs="Arial"/>
        </w:rPr>
        <w:t xml:space="preserve">use recorded crime data to </w:t>
      </w:r>
      <w:r w:rsidRPr="00B712C7" w:rsidR="0054434F">
        <w:rPr>
          <w:rFonts w:ascii="Arial" w:hAnsi="Arial" w:eastAsia="MS Mincho" w:cs="Arial"/>
        </w:rPr>
        <w:t xml:space="preserve">explore </w:t>
      </w:r>
      <w:r w:rsidRPr="00B712C7">
        <w:rPr>
          <w:rFonts w:ascii="Arial" w:hAnsi="Arial" w:eastAsia="MS Mincho" w:cs="Arial"/>
        </w:rPr>
        <w:t>drivers of</w:t>
      </w:r>
      <w:r w:rsidRPr="00B712C7" w:rsidR="0054434F">
        <w:rPr>
          <w:rFonts w:ascii="Arial" w:hAnsi="Arial" w:eastAsia="MS Mincho" w:cs="Arial"/>
        </w:rPr>
        <w:t xml:space="preserve"> the increase in drug use and possession crime across Victoria.</w:t>
      </w:r>
      <w:r w:rsidRPr="00B712C7">
        <w:rPr>
          <w:rFonts w:ascii="Arial" w:hAnsi="Arial" w:eastAsia="MS Mincho" w:cs="Arial"/>
        </w:rPr>
        <w:t xml:space="preserve"> </w:t>
      </w:r>
      <w:r w:rsidRPr="00B712C7" w:rsidR="00006116">
        <w:rPr>
          <w:rFonts w:ascii="Arial" w:hAnsi="Arial" w:eastAsia="MS Mincho" w:cs="Arial"/>
        </w:rPr>
        <w:t>S</w:t>
      </w:r>
      <w:r w:rsidRPr="00B712C7" w:rsidR="009C764C">
        <w:rPr>
          <w:rFonts w:ascii="Arial" w:hAnsi="Arial" w:eastAsia="MS Mincho" w:cs="Arial"/>
        </w:rPr>
        <w:t xml:space="preserve">ignificant </w:t>
      </w:r>
      <w:r w:rsidRPr="00B712C7" w:rsidR="000D49C7">
        <w:rPr>
          <w:rFonts w:ascii="Arial" w:hAnsi="Arial" w:eastAsia="MS Mincho" w:cs="Arial"/>
        </w:rPr>
        <w:t xml:space="preserve">concerns </w:t>
      </w:r>
      <w:r w:rsidRPr="00B712C7" w:rsidR="00006116">
        <w:rPr>
          <w:rFonts w:ascii="Arial" w:hAnsi="Arial" w:eastAsia="MS Mincho" w:cs="Arial"/>
        </w:rPr>
        <w:t xml:space="preserve">have recently been expressed </w:t>
      </w:r>
      <w:r w:rsidRPr="00B712C7" w:rsidR="000D49C7">
        <w:rPr>
          <w:rFonts w:ascii="Arial" w:hAnsi="Arial" w:eastAsia="MS Mincho" w:cs="Arial"/>
        </w:rPr>
        <w:t>about increased drug use</w:t>
      </w:r>
      <w:r w:rsidRPr="00B712C7" w:rsidR="00006116">
        <w:rPr>
          <w:rFonts w:ascii="Arial" w:hAnsi="Arial" w:eastAsia="MS Mincho" w:cs="Arial"/>
        </w:rPr>
        <w:t xml:space="preserve"> in regional areas</w:t>
      </w:r>
      <w:r w:rsidRPr="00B712C7" w:rsidR="000D49C7">
        <w:rPr>
          <w:rFonts w:ascii="Arial" w:hAnsi="Arial" w:eastAsia="MS Mincho" w:cs="Arial"/>
        </w:rPr>
        <w:t xml:space="preserve">. Little data is currently available </w:t>
      </w:r>
      <w:r w:rsidRPr="00B712C7" w:rsidR="00952F4D">
        <w:rPr>
          <w:rFonts w:ascii="Arial" w:hAnsi="Arial" w:eastAsia="MS Mincho" w:cs="Arial"/>
        </w:rPr>
        <w:t>about</w:t>
      </w:r>
      <w:r w:rsidRPr="00B712C7" w:rsidR="000D49C7">
        <w:rPr>
          <w:rFonts w:ascii="Arial" w:hAnsi="Arial" w:eastAsia="MS Mincho" w:cs="Arial"/>
        </w:rPr>
        <w:t xml:space="preserve"> drug use in regional and rural Victoria. </w:t>
      </w:r>
      <w:r w:rsidRPr="00B712C7" w:rsidR="00952F4D">
        <w:rPr>
          <w:rFonts w:ascii="Arial" w:hAnsi="Arial" w:eastAsia="MS Mincho" w:cs="Arial"/>
        </w:rPr>
        <w:t xml:space="preserve">In late 2014, the </w:t>
      </w:r>
      <w:r w:rsidRPr="00B712C7" w:rsidR="00952F4D">
        <w:rPr>
          <w:rFonts w:ascii="Arial" w:hAnsi="Arial" w:eastAsia="MS Mincho" w:cs="Arial"/>
          <w:i/>
        </w:rPr>
        <w:t xml:space="preserve">Inquiry into the supply and use of methamphetamines, particularly ice, in Victoria, </w:t>
      </w:r>
      <w:r w:rsidRPr="00B712C7" w:rsidR="00952F4D">
        <w:rPr>
          <w:rFonts w:ascii="Arial" w:hAnsi="Arial" w:eastAsia="MS Mincho" w:cs="Arial"/>
        </w:rPr>
        <w:t>noted that “there is very little data that gives specific information on drug use patterns and prevalence within rural and regional Victoria”</w:t>
      </w:r>
      <w:r w:rsidRPr="00B712C7" w:rsidR="00BB69E8">
        <w:rPr>
          <w:rFonts w:ascii="Arial" w:hAnsi="Arial" w:eastAsia="MS Mincho" w:cs="Arial"/>
        </w:rPr>
        <w:t xml:space="preserve"> (Law Reform, Drugs and Crime Prevention Committee, 2014: p.xxxv)</w:t>
      </w:r>
      <w:r w:rsidRPr="00B712C7" w:rsidR="00952F4D">
        <w:rPr>
          <w:rFonts w:ascii="Arial" w:hAnsi="Arial" w:eastAsia="MS Mincho" w:cs="Arial"/>
        </w:rPr>
        <w:t>. A valuable extension of the work prese</w:t>
      </w:r>
      <w:r w:rsidRPr="00B712C7" w:rsidR="00DC3B4D">
        <w:rPr>
          <w:rFonts w:ascii="Arial" w:hAnsi="Arial" w:eastAsia="MS Mincho" w:cs="Arial"/>
        </w:rPr>
        <w:t xml:space="preserve">nted in this paper will </w:t>
      </w:r>
      <w:r w:rsidRPr="00B712C7" w:rsidR="00952F4D">
        <w:rPr>
          <w:rFonts w:ascii="Arial" w:hAnsi="Arial" w:eastAsia="MS Mincho" w:cs="Arial"/>
        </w:rPr>
        <w:t xml:space="preserve">be to determine whether the increased rates of offences and offenders described in this paper are attributable to increases in specific geographic regions of Victoria. </w:t>
      </w:r>
      <w:r w:rsidRPr="00B712C7" w:rsidR="00006116">
        <w:rPr>
          <w:rFonts w:ascii="Arial" w:hAnsi="Arial" w:eastAsia="MS Mincho" w:cs="Arial"/>
        </w:rPr>
        <w:t xml:space="preserve">This will be the focus of the second paper in this series. </w:t>
      </w:r>
    </w:p>
    <w:p w:rsidRPr="00B712C7" w:rsidR="00A91C65" w:rsidP="00A91C65" w:rsidRDefault="0054434F" w14:paraId="283EA62D" w14:textId="73F77A3E">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Future work will also focus</w:t>
      </w:r>
      <w:r w:rsidRPr="00B712C7" w:rsidR="00791EE2">
        <w:rPr>
          <w:rFonts w:ascii="Arial" w:hAnsi="Arial" w:eastAsia="MS Mincho" w:cs="Arial"/>
        </w:rPr>
        <w:t xml:space="preserve"> on identifying whether specific </w:t>
      </w:r>
      <w:r w:rsidRPr="00B712C7" w:rsidR="00A47713">
        <w:rPr>
          <w:rFonts w:ascii="Arial" w:hAnsi="Arial" w:eastAsia="MS Mincho" w:cs="Arial"/>
        </w:rPr>
        <w:t xml:space="preserve">types of </w:t>
      </w:r>
      <w:r w:rsidRPr="00B712C7" w:rsidR="00791EE2">
        <w:rPr>
          <w:rFonts w:ascii="Arial" w:hAnsi="Arial" w:eastAsia="MS Mincho" w:cs="Arial"/>
        </w:rPr>
        <w:t>drugs are contributing to the overall increases in drug use and possession</w:t>
      </w:r>
      <w:r w:rsidRPr="00B712C7" w:rsidR="00A47713">
        <w:rPr>
          <w:rFonts w:ascii="Arial" w:hAnsi="Arial" w:eastAsia="MS Mincho" w:cs="Arial"/>
        </w:rPr>
        <w:t xml:space="preserve"> offences</w:t>
      </w:r>
      <w:r w:rsidRPr="00B712C7" w:rsidR="00791EE2">
        <w:rPr>
          <w:rFonts w:ascii="Arial" w:hAnsi="Arial" w:eastAsia="MS Mincho" w:cs="Arial"/>
        </w:rPr>
        <w:t xml:space="preserve">. </w:t>
      </w:r>
      <w:r w:rsidRPr="00B712C7" w:rsidR="000202DF">
        <w:rPr>
          <w:rFonts w:ascii="Arial" w:hAnsi="Arial" w:eastAsia="MS Mincho" w:cs="Arial"/>
        </w:rPr>
        <w:t>Given significant media and Government focus on increased harms relating to use of cr</w:t>
      </w:r>
      <w:r w:rsidRPr="00B712C7" w:rsidR="00B04818">
        <w:rPr>
          <w:rFonts w:ascii="Arial" w:hAnsi="Arial" w:eastAsia="MS Mincho" w:cs="Arial"/>
        </w:rPr>
        <w:t xml:space="preserve">ystal methamphetamine (ice), </w:t>
      </w:r>
      <w:r w:rsidRPr="00B712C7" w:rsidR="00791EE2">
        <w:rPr>
          <w:rFonts w:ascii="Arial" w:hAnsi="Arial" w:eastAsia="MS Mincho" w:cs="Arial"/>
        </w:rPr>
        <w:t>for example</w:t>
      </w:r>
      <w:r w:rsidRPr="00B712C7" w:rsidR="00345394">
        <w:rPr>
          <w:rFonts w:ascii="Arial" w:hAnsi="Arial" w:eastAsia="MS Mincho" w:cs="Arial"/>
        </w:rPr>
        <w:t xml:space="preserve">, </w:t>
      </w:r>
      <w:r w:rsidRPr="00B712C7" w:rsidR="00A47713">
        <w:rPr>
          <w:rFonts w:ascii="Arial" w:hAnsi="Arial" w:eastAsia="MS Mincho" w:cs="Arial"/>
        </w:rPr>
        <w:t>research will</w:t>
      </w:r>
      <w:r w:rsidRPr="00B712C7" w:rsidR="00BC26EC">
        <w:rPr>
          <w:rFonts w:ascii="Arial" w:hAnsi="Arial" w:eastAsia="MS Mincho" w:cs="Arial"/>
        </w:rPr>
        <w:t xml:space="preserve"> where possible,</w:t>
      </w:r>
      <w:r w:rsidRPr="00B712C7" w:rsidR="00345394">
        <w:rPr>
          <w:rFonts w:ascii="Arial" w:hAnsi="Arial" w:eastAsia="MS Mincho" w:cs="Arial"/>
        </w:rPr>
        <w:t xml:space="preserve"> </w:t>
      </w:r>
      <w:r w:rsidRPr="00B712C7" w:rsidR="0027321B">
        <w:rPr>
          <w:rFonts w:ascii="Arial" w:hAnsi="Arial" w:eastAsia="MS Mincho" w:cs="Arial"/>
        </w:rPr>
        <w:t>focus on replication of</w:t>
      </w:r>
      <w:r w:rsidRPr="00B712C7" w:rsidR="00345394">
        <w:rPr>
          <w:rFonts w:ascii="Arial" w:hAnsi="Arial" w:eastAsia="MS Mincho" w:cs="Arial"/>
        </w:rPr>
        <w:t xml:space="preserve"> the analyses presented here </w:t>
      </w:r>
      <w:r w:rsidRPr="00B712C7" w:rsidR="000202DF">
        <w:rPr>
          <w:rFonts w:ascii="Arial" w:hAnsi="Arial" w:eastAsia="MS Mincho" w:cs="Arial"/>
        </w:rPr>
        <w:t xml:space="preserve">broken down according to the type of drug(s) used or possessed by offenders. </w:t>
      </w:r>
    </w:p>
    <w:p w:rsidR="00A06EEC" w:rsidP="00A06EEC" w:rsidRDefault="00D200DB" w14:paraId="644E444F"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B712C7">
        <w:rPr>
          <w:rFonts w:ascii="Arial" w:hAnsi="Arial" w:eastAsia="MS Mincho" w:cs="Arial"/>
        </w:rPr>
        <w:t xml:space="preserve">Significant differences were found in the demographic profiles of those who offended once with those who offended multiple times, though the size of the differences found was quite small. Further analysis </w:t>
      </w:r>
      <w:r w:rsidRPr="00B712C7" w:rsidR="0054434F">
        <w:rPr>
          <w:rFonts w:ascii="Arial" w:hAnsi="Arial" w:eastAsia="MS Mincho" w:cs="Arial"/>
        </w:rPr>
        <w:t>will determine</w:t>
      </w:r>
      <w:r w:rsidRPr="00B712C7">
        <w:rPr>
          <w:rFonts w:ascii="Arial" w:hAnsi="Arial" w:eastAsia="MS Mincho" w:cs="Arial"/>
        </w:rPr>
        <w:t xml:space="preserve"> whether there are other differences </w:t>
      </w:r>
      <w:r w:rsidRPr="00B712C7" w:rsidR="00B21061">
        <w:rPr>
          <w:rFonts w:ascii="Arial" w:hAnsi="Arial" w:eastAsia="MS Mincho" w:cs="Arial"/>
        </w:rPr>
        <w:t>between individuals that are related</w:t>
      </w:r>
      <w:r w:rsidRPr="00B712C7">
        <w:rPr>
          <w:rFonts w:ascii="Arial" w:hAnsi="Arial" w:eastAsia="MS Mincho" w:cs="Arial"/>
        </w:rPr>
        <w:t xml:space="preserve"> to the number of drug use and po</w:t>
      </w:r>
      <w:r w:rsidRPr="00B712C7" w:rsidR="00B21061">
        <w:rPr>
          <w:rFonts w:ascii="Arial" w:hAnsi="Arial" w:eastAsia="MS Mincho" w:cs="Arial"/>
        </w:rPr>
        <w:t xml:space="preserve">ssession offences they are </w:t>
      </w:r>
      <w:r w:rsidRPr="00B712C7" w:rsidR="0054434F">
        <w:rPr>
          <w:rFonts w:ascii="Arial" w:hAnsi="Arial" w:eastAsia="MS Mincho" w:cs="Arial"/>
        </w:rPr>
        <w:t>detected for by police</w:t>
      </w:r>
      <w:r w:rsidRPr="00B712C7">
        <w:rPr>
          <w:rFonts w:ascii="Arial" w:hAnsi="Arial" w:eastAsia="MS Mincho" w:cs="Arial"/>
        </w:rPr>
        <w:t xml:space="preserve">. For example, whether there are differences in the type of drugs used or possessed, or whether repeat offenders also tend to be involved in other types of offending. Combined with additional analysis of law enforcement responses to drug use and possession offending, analyses such as these may shed light on whether there are some offenders for whom </w:t>
      </w:r>
      <w:r w:rsidRPr="00B712C7" w:rsidR="00DC3B4D">
        <w:rPr>
          <w:rFonts w:ascii="Arial" w:hAnsi="Arial" w:eastAsia="MS Mincho" w:cs="Arial"/>
        </w:rPr>
        <w:t xml:space="preserve">drug </w:t>
      </w:r>
      <w:r w:rsidRPr="00B712C7">
        <w:rPr>
          <w:rFonts w:ascii="Arial" w:hAnsi="Arial" w:eastAsia="MS Mincho" w:cs="Arial"/>
        </w:rPr>
        <w:t>diversion responses are more effective. There may also be cohorts of offenders who are not currently eligible to be diverted but for whom diversion may be an appropriate police response.</w:t>
      </w:r>
      <w:r w:rsidRPr="00B712C7" w:rsidR="0054434F">
        <w:rPr>
          <w:rFonts w:ascii="Arial" w:hAnsi="Arial" w:eastAsia="MS Mincho" w:cs="Arial"/>
        </w:rPr>
        <w:t xml:space="preserve"> </w:t>
      </w:r>
    </w:p>
    <w:p w:rsidRPr="00B712C7" w:rsidR="000D2F7B" w:rsidP="00A06EEC" w:rsidRDefault="000D2F7B" w14:paraId="3B10CB72" w14:textId="6241A333">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r w:rsidRPr="00A06EEC">
        <w:rPr>
          <w:rFonts w:ascii="Arial" w:hAnsi="Arial" w:eastAsia="MS Mincho" w:cs="Arial"/>
          <w:color w:val="808080"/>
          <w:sz w:val="26"/>
          <w:szCs w:val="26"/>
          <w:lang w:val="en-GB"/>
        </w:rPr>
        <w:t>Acknowledgements</w:t>
      </w:r>
      <w:r w:rsidRPr="00A06EEC">
        <w:rPr>
          <w:rFonts w:ascii="Arial" w:hAnsi="Arial" w:eastAsia="MS Mincho" w:cs="Arial"/>
          <w:color w:val="808080"/>
          <w:sz w:val="26"/>
          <w:szCs w:val="26"/>
          <w:lang w:val="en-GB"/>
        </w:rPr>
        <w:tab/>
      </w:r>
    </w:p>
    <w:p w:rsidRPr="00B712C7" w:rsidR="003640E6" w:rsidP="006F0E4B" w:rsidRDefault="000D2F7B" w14:paraId="30C7E52C" w14:textId="01388452">
      <w:pPr>
        <w:pStyle w:val="ListParagraph"/>
        <w:widowControl w:val="false"/>
        <w:suppressAutoHyphens/>
        <w:autoSpaceDE w:val="false"/>
        <w:autoSpaceDN w:val="false"/>
        <w:adjustRightInd w:val="false"/>
        <w:spacing w:before="170" w:after="57" w:line="300" w:lineRule="atLeast"/>
        <w:ind w:left="0"/>
        <w:textAlignment w:val="center"/>
        <w:outlineLvl w:val="2"/>
        <w:rPr>
          <w:rFonts w:ascii="Arial" w:hAnsi="Arial" w:eastAsia="MS Mincho" w:cs="Arial"/>
          <w:color w:val="808080"/>
          <w:sz w:val="26"/>
          <w:szCs w:val="26"/>
          <w:lang w:val="en-GB"/>
        </w:rPr>
      </w:pPr>
      <w:r w:rsidRPr="00B712C7">
        <w:rPr>
          <w:rFonts w:ascii="Arial" w:hAnsi="Arial" w:eastAsia="MS Mincho" w:cs="Arial"/>
        </w:rPr>
        <w:t>The authors would like to thank Kimberley Shirley for her efforts in extracting the data for this project</w:t>
      </w:r>
      <w:r w:rsidRPr="00B712C7" w:rsidR="0004458B">
        <w:rPr>
          <w:rFonts w:ascii="Arial" w:hAnsi="Arial" w:eastAsia="MS Mincho" w:cs="Arial"/>
        </w:rPr>
        <w:t>,</w:t>
      </w:r>
      <w:r w:rsidRPr="00B712C7">
        <w:rPr>
          <w:rFonts w:ascii="Arial" w:hAnsi="Arial" w:eastAsia="MS Mincho" w:cs="Arial"/>
        </w:rPr>
        <w:t xml:space="preserve"> and Fiona Dowsley </w:t>
      </w:r>
      <w:r w:rsidRPr="00B712C7" w:rsidR="0004458B">
        <w:rPr>
          <w:rFonts w:ascii="Arial" w:hAnsi="Arial" w:eastAsia="MS Mincho" w:cs="Arial"/>
        </w:rPr>
        <w:t xml:space="preserve">and Courtney Van Tongeren </w:t>
      </w:r>
      <w:r w:rsidRPr="00B712C7">
        <w:rPr>
          <w:rFonts w:ascii="Arial" w:hAnsi="Arial" w:eastAsia="MS Mincho" w:cs="Arial"/>
        </w:rPr>
        <w:t xml:space="preserve">for providing useful feedback on the </w:t>
      </w:r>
      <w:r w:rsidRPr="00B712C7" w:rsidR="00D514BA">
        <w:rPr>
          <w:rFonts w:ascii="Arial" w:hAnsi="Arial" w:eastAsia="MS Mincho" w:cs="Arial"/>
        </w:rPr>
        <w:t xml:space="preserve">draft </w:t>
      </w:r>
      <w:r w:rsidRPr="00B712C7">
        <w:rPr>
          <w:rFonts w:ascii="Arial" w:hAnsi="Arial" w:eastAsia="MS Mincho" w:cs="Arial"/>
        </w:rPr>
        <w:t xml:space="preserve">paper. Thanks are also extended to Chantelle Miller </w:t>
      </w:r>
      <w:r w:rsidRPr="00B712C7" w:rsidR="00D514BA">
        <w:rPr>
          <w:rFonts w:ascii="Arial" w:hAnsi="Arial" w:eastAsia="MS Mincho" w:cs="Arial"/>
        </w:rPr>
        <w:t xml:space="preserve">from Victoria Police for </w:t>
      </w:r>
      <w:r w:rsidRPr="00B712C7">
        <w:rPr>
          <w:rFonts w:ascii="Arial" w:hAnsi="Arial" w:eastAsia="MS Mincho" w:cs="Arial"/>
        </w:rPr>
        <w:t xml:space="preserve">reviewing the </w:t>
      </w:r>
      <w:r w:rsidRPr="00B712C7" w:rsidR="00D514BA">
        <w:rPr>
          <w:rFonts w:ascii="Arial" w:hAnsi="Arial" w:eastAsia="MS Mincho" w:cs="Arial"/>
        </w:rPr>
        <w:t>final draft and pro</w:t>
      </w:r>
      <w:r w:rsidRPr="00B712C7" w:rsidR="0004458B">
        <w:rPr>
          <w:rFonts w:ascii="Arial" w:hAnsi="Arial" w:eastAsia="MS Mincho" w:cs="Arial"/>
        </w:rPr>
        <w:t>viding contextual information for</w:t>
      </w:r>
      <w:r w:rsidRPr="00B712C7" w:rsidR="00D514BA">
        <w:rPr>
          <w:rFonts w:ascii="Arial" w:hAnsi="Arial" w:eastAsia="MS Mincho" w:cs="Arial"/>
        </w:rPr>
        <w:t xml:space="preserve"> the project. </w:t>
      </w:r>
    </w:p>
    <w:p w:rsidRPr="00B712C7" w:rsidR="00E53A53" w:rsidP="00BB69E8" w:rsidRDefault="00E53A53" w14:paraId="57DE5083" w14:textId="77777777">
      <w:pPr>
        <w:pStyle w:val="ListParagraph"/>
        <w:widowControl w:val="false"/>
        <w:suppressAutoHyphens/>
        <w:autoSpaceDE w:val="false"/>
        <w:autoSpaceDN w:val="false"/>
        <w:adjustRightInd w:val="false"/>
        <w:spacing w:before="170" w:after="57" w:line="300" w:lineRule="atLeast"/>
        <w:ind w:left="-567" w:firstLine="567"/>
        <w:textAlignment w:val="center"/>
        <w:outlineLvl w:val="2"/>
        <w:rPr>
          <w:rFonts w:ascii="Arial" w:hAnsi="Arial" w:eastAsia="MS Mincho" w:cs="Arial"/>
          <w:color w:val="808080"/>
          <w:sz w:val="26"/>
          <w:szCs w:val="26"/>
          <w:lang w:val="en-GB"/>
        </w:rPr>
        <w:sectPr w:rsidRPr="00B712C7" w:rsidR="00E53A53" w:rsidSect="00D200DB">
          <w:headerReference r:id="rId14" w:type="even"/>
          <w:headerReference r:id="rId15" w:type="default"/>
          <w:footerReference r:id="rId16" w:type="even"/>
          <w:footerReference r:id="rId17" w:type="default"/>
          <w:headerReference r:id="rId18" w:type="first"/>
          <w:footerReference r:id="rId19" w:type="first"/>
          <w:pgSz w:w="11906" w:h="16838"/>
          <w:pgMar w:top="1440" w:right="849" w:bottom="1440" w:left="1440" w:header="0" w:footer="0" w:gutter="0"/>
          <w:cols w:space="708"/>
          <w:titlePg/>
          <w:docGrid w:linePitch="360"/>
        </w:sectPr>
      </w:pPr>
    </w:p>
    <w:p w:rsidRPr="00B712C7" w:rsidR="00BB69E8" w:rsidP="00BB69E8" w:rsidRDefault="00BB69E8" w14:paraId="6DA30AC1" w14:textId="6FDB8A77">
      <w:pPr>
        <w:pStyle w:val="ListParagraph"/>
        <w:widowControl w:val="false"/>
        <w:suppressAutoHyphens/>
        <w:autoSpaceDE w:val="false"/>
        <w:autoSpaceDN w:val="false"/>
        <w:adjustRightInd w:val="false"/>
        <w:spacing w:before="170" w:after="57" w:line="300" w:lineRule="atLeast"/>
        <w:ind w:left="-567" w:firstLine="567"/>
        <w:textAlignment w:val="center"/>
        <w:outlineLvl w:val="2"/>
        <w:rPr>
          <w:rFonts w:ascii="Arial" w:hAnsi="Arial" w:eastAsia="MS Mincho" w:cs="Arial"/>
          <w:color w:val="808080"/>
          <w:sz w:val="26"/>
          <w:szCs w:val="26"/>
          <w:lang w:val="en-GB"/>
        </w:rPr>
      </w:pPr>
      <w:r w:rsidRPr="00B712C7">
        <w:rPr>
          <w:rFonts w:ascii="Arial" w:hAnsi="Arial" w:eastAsia="MS Mincho" w:cs="Arial"/>
          <w:color w:val="808080"/>
          <w:sz w:val="26"/>
          <w:szCs w:val="26"/>
          <w:lang w:val="en-GB"/>
        </w:rPr>
        <w:lastRenderedPageBreak/>
        <w:t xml:space="preserve">References </w:t>
      </w:r>
    </w:p>
    <w:p w:rsidRPr="00B712C7" w:rsidR="00A91C65" w:rsidP="00FE610E" w:rsidRDefault="00A91C65" w14:paraId="73BC927C" w14:textId="77777777">
      <w:pPr>
        <w:pStyle w:val="FootnoteText"/>
        <w:rPr>
          <w:rFonts w:ascii="Arial" w:hAnsi="Arial" w:cs="Arial"/>
          <w:sz w:val="22"/>
          <w:szCs w:val="22"/>
        </w:rPr>
      </w:pPr>
    </w:p>
    <w:p w:rsidRPr="00B712C7" w:rsidR="00FE610E" w:rsidP="003E5548" w:rsidRDefault="00FE610E" w14:paraId="603155E9" w14:textId="77777777">
      <w:pPr>
        <w:pStyle w:val="NoSpacing"/>
        <w:rPr>
          <w:rFonts w:ascii="Arial" w:hAnsi="Arial" w:eastAsia="MS Mincho" w:cs="Arial"/>
        </w:rPr>
      </w:pPr>
      <w:r w:rsidRPr="00B712C7">
        <w:rPr>
          <w:rFonts w:ascii="Arial" w:hAnsi="Arial" w:cs="Arial"/>
          <w:lang w:val="en-US"/>
        </w:rPr>
        <w:t xml:space="preserve">Australian Bureau of Statistics (2015). </w:t>
      </w:r>
      <w:r w:rsidRPr="00B712C7">
        <w:rPr>
          <w:rFonts w:ascii="Arial" w:hAnsi="Arial" w:cs="Arial"/>
          <w:i/>
          <w:lang w:val="en-US"/>
        </w:rPr>
        <w:t xml:space="preserve">Criminal Courts, Australia, 2013-2014. </w:t>
      </w:r>
      <w:r w:rsidRPr="00B712C7">
        <w:rPr>
          <w:rFonts w:ascii="Arial" w:hAnsi="Arial" w:cs="Arial"/>
          <w:lang w:val="en-US"/>
        </w:rPr>
        <w:t>Category no. 4513.0. Canberra: ABS.</w:t>
      </w:r>
    </w:p>
    <w:p w:rsidRPr="00B712C7" w:rsidR="00FE610E" w:rsidP="003E5548" w:rsidRDefault="00FE610E" w14:paraId="6F02F9AD" w14:textId="77777777">
      <w:pPr>
        <w:pStyle w:val="NoSpacing"/>
        <w:rPr>
          <w:rFonts w:ascii="Arial" w:hAnsi="Arial" w:cs="Arial"/>
        </w:rPr>
      </w:pPr>
    </w:p>
    <w:p w:rsidRPr="00B712C7" w:rsidR="00FE610E" w:rsidP="003E5548" w:rsidRDefault="00FE610E" w14:paraId="0F04CB31" w14:textId="77777777">
      <w:pPr>
        <w:pStyle w:val="NoSpacing"/>
        <w:ind w:left="720" w:hanging="720"/>
        <w:rPr>
          <w:rFonts w:ascii="Arial" w:hAnsi="Arial" w:cs="Arial"/>
        </w:rPr>
      </w:pPr>
      <w:r w:rsidRPr="00B712C7">
        <w:rPr>
          <w:rFonts w:ascii="Arial" w:hAnsi="Arial" w:cs="Arial"/>
        </w:rPr>
        <w:t xml:space="preserve">Australian Institute of Health and Welfare (2014a). </w:t>
      </w:r>
      <w:r w:rsidRPr="00B712C7">
        <w:rPr>
          <w:rFonts w:ascii="Arial" w:hAnsi="Arial" w:cs="Arial"/>
          <w:i/>
        </w:rPr>
        <w:t xml:space="preserve">National Drug Strategy Household Survey detailed report 2013. </w:t>
      </w:r>
      <w:r w:rsidRPr="00B712C7">
        <w:rPr>
          <w:rFonts w:ascii="Arial" w:hAnsi="Arial" w:cs="Arial"/>
        </w:rPr>
        <w:t xml:space="preserve">Drug statistics series no.28. Canberra: AIHW. </w:t>
      </w:r>
    </w:p>
    <w:p w:rsidRPr="00B712C7" w:rsidR="00FE610E" w:rsidP="003E5548" w:rsidRDefault="00FE610E" w14:paraId="2766AC3B" w14:textId="77777777">
      <w:pPr>
        <w:pStyle w:val="NoSpacing"/>
        <w:rPr>
          <w:rFonts w:ascii="Arial" w:hAnsi="Arial" w:cs="Arial"/>
        </w:rPr>
      </w:pPr>
    </w:p>
    <w:p w:rsidRPr="00B712C7" w:rsidR="00FE610E" w:rsidP="003E5548" w:rsidRDefault="00FE610E" w14:paraId="45F3DD02" w14:textId="77777777">
      <w:pPr>
        <w:pStyle w:val="NoSpacing"/>
        <w:ind w:left="720" w:hanging="720"/>
        <w:rPr>
          <w:rFonts w:ascii="Arial" w:hAnsi="Arial" w:cs="Arial"/>
        </w:rPr>
      </w:pPr>
      <w:r w:rsidRPr="00B712C7">
        <w:rPr>
          <w:rFonts w:ascii="Arial" w:hAnsi="Arial" w:cs="Arial"/>
        </w:rPr>
        <w:t xml:space="preserve">Australian Institute of Health and Welfare (2014b). </w:t>
      </w:r>
      <w:r w:rsidRPr="00B712C7">
        <w:rPr>
          <w:rFonts w:ascii="Arial" w:hAnsi="Arial" w:cs="Arial"/>
          <w:i/>
        </w:rPr>
        <w:t xml:space="preserve">Alcohol and other drug treatment and diversion from the Australian criminal justice system 2012-13. </w:t>
      </w:r>
      <w:r w:rsidRPr="00B712C7">
        <w:rPr>
          <w:rFonts w:ascii="Arial" w:hAnsi="Arial" w:cs="Arial"/>
        </w:rPr>
        <w:t>Bulletin no. 125. Canberra: AIHW.</w:t>
      </w:r>
    </w:p>
    <w:p w:rsidRPr="00B712C7" w:rsidR="00FE610E" w:rsidP="003E5548" w:rsidRDefault="00FE610E" w14:paraId="514D8EA8" w14:textId="77777777">
      <w:pPr>
        <w:pStyle w:val="NoSpacing"/>
        <w:rPr>
          <w:rFonts w:ascii="Arial" w:hAnsi="Arial" w:eastAsia="MS Mincho" w:cs="Arial"/>
        </w:rPr>
      </w:pPr>
    </w:p>
    <w:p w:rsidRPr="00B712C7" w:rsidR="00FE610E" w:rsidP="003E5548" w:rsidRDefault="00FE610E" w14:paraId="14BA9362" w14:textId="5C2525CD">
      <w:pPr>
        <w:pStyle w:val="NoSpacing"/>
        <w:ind w:left="720" w:hanging="720"/>
        <w:rPr>
          <w:rFonts w:ascii="Arial" w:hAnsi="Arial" w:eastAsia="MS Mincho" w:cs="Arial"/>
        </w:rPr>
      </w:pPr>
      <w:r w:rsidRPr="00B712C7">
        <w:rPr>
          <w:rFonts w:ascii="Arial" w:hAnsi="Arial" w:eastAsia="MS Mincho" w:cs="Arial"/>
        </w:rPr>
        <w:t xml:space="preserve">Burrows, J., Tarling, R. and Mackie, A. (2000). </w:t>
      </w:r>
      <w:r w:rsidRPr="00B712C7">
        <w:rPr>
          <w:rFonts w:ascii="Arial" w:hAnsi="Arial" w:eastAsia="MS Mincho" w:cs="Arial"/>
          <w:i/>
        </w:rPr>
        <w:t xml:space="preserve">Review of Police Forces’ Crime Recording Practices. </w:t>
      </w:r>
      <w:r w:rsidRPr="00B712C7">
        <w:rPr>
          <w:rFonts w:ascii="Arial" w:hAnsi="Arial" w:eastAsia="MS Mincho" w:cs="Arial"/>
        </w:rPr>
        <w:t xml:space="preserve">Home Office Research Study no. 204. London: Home Office. </w:t>
      </w:r>
    </w:p>
    <w:p w:rsidRPr="00B712C7" w:rsidR="00FE610E" w:rsidP="003E5548" w:rsidRDefault="00FE610E" w14:paraId="1827FE25" w14:textId="77777777">
      <w:pPr>
        <w:pStyle w:val="NoSpacing"/>
        <w:rPr>
          <w:rFonts w:ascii="Arial" w:hAnsi="Arial" w:eastAsia="MS Mincho" w:cs="Arial"/>
        </w:rPr>
      </w:pPr>
    </w:p>
    <w:p w:rsidRPr="00B712C7" w:rsidR="00BB69E8" w:rsidP="003E5548" w:rsidRDefault="00BB69E8" w14:paraId="7E8EFC01" w14:textId="30E804B8">
      <w:pPr>
        <w:pStyle w:val="NoSpacing"/>
        <w:ind w:left="720" w:hanging="720"/>
        <w:rPr>
          <w:rFonts w:ascii="Arial" w:hAnsi="Arial" w:cs="Arial"/>
        </w:rPr>
      </w:pPr>
      <w:r w:rsidRPr="00B712C7">
        <w:rPr>
          <w:rFonts w:ascii="Arial" w:hAnsi="Arial" w:cs="Arial"/>
        </w:rPr>
        <w:t xml:space="preserve">Crime Statistics Agency (2015a). </w:t>
      </w:r>
      <w:r w:rsidRPr="00B712C7">
        <w:rPr>
          <w:rFonts w:ascii="Arial" w:hAnsi="Arial" w:cs="Arial"/>
          <w:i/>
        </w:rPr>
        <w:t>Recorded offences data table 2: Offence rate per 100,000 population by offence characteristics – April 2010 to March 2015</w:t>
      </w:r>
      <w:r w:rsidRPr="00B712C7">
        <w:rPr>
          <w:rFonts w:ascii="Arial" w:hAnsi="Arial" w:cs="Arial"/>
        </w:rPr>
        <w:t xml:space="preserve">. Retrieved </w:t>
      </w:r>
      <w:r w:rsidRPr="00B712C7" w:rsidR="00867AF9">
        <w:rPr>
          <w:rFonts w:ascii="Arial" w:hAnsi="Arial" w:cs="Arial"/>
        </w:rPr>
        <w:t xml:space="preserve">3 August 2015, </w:t>
      </w:r>
      <w:r w:rsidRPr="00B712C7">
        <w:rPr>
          <w:rFonts w:ascii="Arial" w:hAnsi="Arial" w:cs="Arial"/>
        </w:rPr>
        <w:t xml:space="preserve">from:  </w:t>
      </w:r>
      <w:hyperlink w:history="true" r:id="rId20">
        <w:r w:rsidRPr="00B712C7">
          <w:rPr>
            <w:rStyle w:val="Hyperlink"/>
            <w:rFonts w:ascii="Arial" w:hAnsi="Arial" w:cs="Arial"/>
          </w:rPr>
          <w:t>www.crimestatistics.vic.gov.au/home/crime+statistics/year+ending+31+march+2015/download+data</w:t>
        </w:r>
      </w:hyperlink>
      <w:r w:rsidRPr="00B712C7">
        <w:rPr>
          <w:rFonts w:ascii="Arial" w:hAnsi="Arial" w:cs="Arial"/>
        </w:rPr>
        <w:t xml:space="preserve"> </w:t>
      </w:r>
    </w:p>
    <w:p w:rsidRPr="00B712C7" w:rsidR="00BB69E8" w:rsidP="003E5548" w:rsidRDefault="00BB69E8" w14:paraId="6D7D75A8" w14:textId="77777777">
      <w:pPr>
        <w:pStyle w:val="NoSpacing"/>
        <w:rPr>
          <w:rFonts w:ascii="Arial" w:hAnsi="Arial" w:cs="Arial"/>
        </w:rPr>
      </w:pPr>
    </w:p>
    <w:p w:rsidRPr="00B712C7" w:rsidR="00BB69E8" w:rsidP="004B7B68" w:rsidRDefault="00BB69E8" w14:paraId="011791B1" w14:textId="3E223294">
      <w:pPr>
        <w:pStyle w:val="NoSpacing"/>
        <w:ind w:left="720" w:hanging="720"/>
        <w:rPr>
          <w:rFonts w:ascii="Arial" w:hAnsi="Arial" w:cs="Arial"/>
        </w:rPr>
      </w:pPr>
      <w:r w:rsidRPr="00B712C7">
        <w:rPr>
          <w:rFonts w:ascii="Arial" w:hAnsi="Arial" w:cs="Arial"/>
        </w:rPr>
        <w:t xml:space="preserve">Crime Statistics Agency (2015b). </w:t>
      </w:r>
      <w:r w:rsidRPr="00B712C7" w:rsidR="00867AF9">
        <w:rPr>
          <w:rFonts w:ascii="Arial" w:hAnsi="Arial" w:cs="Arial"/>
          <w:i/>
        </w:rPr>
        <w:t>Offence Classification</w:t>
      </w:r>
      <w:r w:rsidRPr="00B712C7" w:rsidR="00867AF9">
        <w:rPr>
          <w:rFonts w:ascii="Arial" w:hAnsi="Arial" w:cs="Arial"/>
        </w:rPr>
        <w:t xml:space="preserve">. Retrieved 3 August 2015 , from: </w:t>
      </w:r>
      <w:hyperlink w:history="true" r:id="rId21">
        <w:r w:rsidRPr="00B712C7" w:rsidR="00867AF9">
          <w:rPr>
            <w:rStyle w:val="Hyperlink"/>
            <w:rFonts w:ascii="Arial" w:hAnsi="Arial" w:cs="Arial"/>
          </w:rPr>
          <w:t>www.crimestatistics.vic.gov.au/home/about+the+data/classifications/offence+classification</w:t>
        </w:r>
      </w:hyperlink>
      <w:r w:rsidRPr="00B712C7" w:rsidR="00867AF9">
        <w:rPr>
          <w:rFonts w:ascii="Arial" w:hAnsi="Arial" w:cs="Arial"/>
        </w:rPr>
        <w:t xml:space="preserve"> </w:t>
      </w:r>
    </w:p>
    <w:p w:rsidRPr="00B712C7" w:rsidR="00BB69E8" w:rsidP="003E5548" w:rsidRDefault="00BB69E8" w14:paraId="003CD6E5" w14:textId="77777777">
      <w:pPr>
        <w:pStyle w:val="NoSpacing"/>
        <w:rPr>
          <w:rFonts w:ascii="Arial" w:hAnsi="Arial" w:cs="Arial"/>
        </w:rPr>
      </w:pPr>
    </w:p>
    <w:p w:rsidRPr="00B712C7" w:rsidR="00BB69E8" w:rsidP="003E5548" w:rsidRDefault="00BB69E8" w14:paraId="7B7B6C16" w14:textId="16B44502">
      <w:pPr>
        <w:pStyle w:val="NoSpacing"/>
        <w:ind w:left="720" w:hanging="720"/>
        <w:rPr>
          <w:rFonts w:ascii="Arial" w:hAnsi="Arial" w:cs="Arial"/>
        </w:rPr>
      </w:pPr>
      <w:r w:rsidRPr="00B712C7">
        <w:rPr>
          <w:rFonts w:ascii="Arial" w:hAnsi="Arial" w:cs="Arial"/>
        </w:rPr>
        <w:t xml:space="preserve">Law Reform, Drugs and Crime Prevention Committee, (2014). </w:t>
      </w:r>
      <w:r w:rsidRPr="00B712C7">
        <w:rPr>
          <w:rFonts w:ascii="Arial" w:hAnsi="Arial" w:cs="Arial"/>
          <w:i/>
        </w:rPr>
        <w:t>Inquiry into the supply and use of methamphetamines, particularly ice, in Victoria - Final Report</w:t>
      </w:r>
      <w:r w:rsidRPr="00B712C7">
        <w:rPr>
          <w:rFonts w:ascii="Arial" w:hAnsi="Arial" w:cs="Arial"/>
        </w:rPr>
        <w:t>. Melbourne</w:t>
      </w:r>
      <w:r w:rsidRPr="00B712C7" w:rsidR="00486537">
        <w:rPr>
          <w:rFonts w:ascii="Arial" w:hAnsi="Arial" w:cs="Arial"/>
        </w:rPr>
        <w:t xml:space="preserve">: Parliament of Victoria. </w:t>
      </w:r>
    </w:p>
    <w:p w:rsidRPr="00B712C7" w:rsidR="00D74A3A" w:rsidP="003E5548" w:rsidRDefault="00D74A3A" w14:paraId="1D420C04" w14:textId="77777777">
      <w:pPr>
        <w:pStyle w:val="NoSpacing"/>
        <w:ind w:left="720" w:hanging="720"/>
        <w:rPr>
          <w:rFonts w:ascii="Arial" w:hAnsi="Arial" w:cs="Arial"/>
        </w:rPr>
      </w:pPr>
    </w:p>
    <w:p w:rsidRPr="00B712C7" w:rsidR="00D74A3A" w:rsidP="003E5548" w:rsidRDefault="00D74A3A" w14:paraId="09D3C242" w14:textId="743555B8">
      <w:pPr>
        <w:pStyle w:val="NoSpacing"/>
        <w:ind w:left="720" w:hanging="720"/>
        <w:rPr>
          <w:rFonts w:ascii="Arial" w:hAnsi="Arial" w:cs="Arial"/>
        </w:rPr>
      </w:pPr>
      <w:r w:rsidRPr="00B712C7">
        <w:rPr>
          <w:rFonts w:ascii="Arial" w:hAnsi="Arial" w:cs="Arial"/>
        </w:rPr>
        <w:t xml:space="preserve">Ombudsman Victoria (2009). </w:t>
      </w:r>
      <w:r w:rsidRPr="00B712C7">
        <w:rPr>
          <w:rFonts w:ascii="Arial" w:hAnsi="Arial" w:cs="Arial"/>
          <w:i/>
        </w:rPr>
        <w:t xml:space="preserve">Crime statistics and police numbers. </w:t>
      </w:r>
      <w:r w:rsidRPr="00B712C7">
        <w:rPr>
          <w:rFonts w:ascii="Arial" w:hAnsi="Arial" w:cs="Arial"/>
        </w:rPr>
        <w:t xml:space="preserve">Melbourne: Victorian government printer. </w:t>
      </w:r>
    </w:p>
    <w:p w:rsidRPr="00B712C7" w:rsidR="00BB69E8" w:rsidP="003E5548" w:rsidRDefault="00BB69E8" w14:paraId="48EE7DEE" w14:textId="77777777">
      <w:pPr>
        <w:pStyle w:val="NoSpacing"/>
        <w:rPr>
          <w:rFonts w:ascii="Arial" w:hAnsi="Arial" w:eastAsia="MS Mincho" w:cs="Arial"/>
        </w:rPr>
      </w:pPr>
    </w:p>
    <w:p w:rsidRPr="00B712C7" w:rsidR="00BB69E8" w:rsidP="00762568" w:rsidRDefault="00BB69E8" w14:paraId="0061E9B5"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p>
    <w:p w:rsidRPr="00B712C7" w:rsidR="00A2266A" w:rsidP="00762568" w:rsidRDefault="00A2266A" w14:paraId="7CE1275D"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p>
    <w:p w:rsidRPr="00B712C7" w:rsidR="00227868" w:rsidP="00762568" w:rsidRDefault="00227868" w14:paraId="1E1AA43C"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p>
    <w:p w:rsidRPr="00B712C7" w:rsidR="00227868" w:rsidP="00762568" w:rsidRDefault="00227868" w14:paraId="7F1B46C5"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p>
    <w:p w:rsidRPr="00B712C7" w:rsidR="00227868" w:rsidP="00762568" w:rsidRDefault="00227868" w14:paraId="5476DD84"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p>
    <w:p w:rsidRPr="00B712C7" w:rsidR="00227868" w:rsidP="00762568" w:rsidRDefault="00227868" w14:paraId="6F1CE4CC"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p>
    <w:p w:rsidRPr="00B712C7" w:rsidR="00E53A53" w:rsidP="00762568" w:rsidRDefault="00E53A53" w14:paraId="7485AF6B"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sectPr w:rsidRPr="00B712C7" w:rsidR="00E53A53" w:rsidSect="00D200DB">
          <w:headerReference r:id="rId22" w:type="even"/>
          <w:headerReference r:id="rId23" w:type="default"/>
          <w:headerReference r:id="rId24" w:type="first"/>
          <w:footerReference r:id="rId25" w:type="first"/>
          <w:pgSz w:w="11906" w:h="16838"/>
          <w:pgMar w:top="1440" w:right="849" w:bottom="1440" w:left="1440" w:header="0" w:footer="0" w:gutter="0"/>
          <w:cols w:space="708"/>
          <w:titlePg/>
          <w:docGrid w:linePitch="360"/>
        </w:sectPr>
      </w:pPr>
    </w:p>
    <w:p w:rsidRPr="00B712C7" w:rsidR="00917F2B" w:rsidP="00762568" w:rsidRDefault="00917F2B" w14:paraId="4344303D" w14:textId="565ACD60">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p>
    <w:p w:rsidRPr="00B712C7" w:rsidR="00E53A53" w:rsidP="00762568" w:rsidRDefault="00E53A53" w14:paraId="0FFDC51C"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p>
    <w:p w:rsidRPr="00B712C7" w:rsidR="00E53A53" w:rsidP="00762568" w:rsidRDefault="00E53A53" w14:paraId="2EB06993" w14:textId="77777777">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sectPr w:rsidRPr="00B712C7" w:rsidR="00E53A53" w:rsidSect="00E53A53">
          <w:type w:val="continuous"/>
          <w:pgSz w:w="11906" w:h="16838"/>
          <w:pgMar w:top="1440" w:right="849" w:bottom="1440" w:left="1440" w:header="0" w:footer="0" w:gutter="0"/>
          <w:cols w:space="708"/>
          <w:titlePg/>
          <w:docGrid w:linePitch="360"/>
        </w:sectPr>
      </w:pPr>
    </w:p>
    <w:p w:rsidRPr="00B712C7" w:rsidR="00E53A53" w:rsidP="00762568" w:rsidRDefault="00E53A53" w14:paraId="157F815E" w14:textId="57929D7B">
      <w:pPr>
        <w:widowControl w:val="false"/>
        <w:suppressAutoHyphens/>
        <w:autoSpaceDE w:val="false"/>
        <w:autoSpaceDN w:val="false"/>
        <w:adjustRightInd w:val="false"/>
        <w:spacing w:before="170" w:after="57" w:line="300" w:lineRule="atLeast"/>
        <w:textAlignment w:val="center"/>
        <w:outlineLvl w:val="2"/>
        <w:rPr>
          <w:rFonts w:ascii="Arial" w:hAnsi="Arial" w:eastAsia="MS Mincho" w:cs="Arial"/>
        </w:rPr>
      </w:pPr>
    </w:p>
    <w:sectPr w:rsidRPr="00B712C7" w:rsidR="00E53A53" w:rsidSect="00E53A53">
      <w:type w:val="continuous"/>
      <w:pgSz w:w="11906" w:h="16838"/>
      <w:pgMar w:top="1440" w:right="849" w:bottom="1440" w:left="1440" w:header="0" w:footer="0" w:gutter="0"/>
      <w:cols w:space="708"/>
      <w:titlePg/>
      <w:docGrid w:linePitch="36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endnote w:type="separator" w:id="-1">
    <w:p w:rsidR="002663DC" w:rsidP="00EF0EE5" w:rsidRDefault="002663DC" w14:paraId="73EDA066" w14:textId="77777777">
      <w:pPr>
        <w:spacing w:after="0" w:line="240" w:lineRule="auto"/>
      </w:pPr>
      <w:r>
        <w:separator/>
      </w:r>
    </w:p>
  </w:endnote>
  <w:endnote w:type="continuationSeparator" w:id="0">
    <w:p w:rsidR="002663DC" w:rsidP="00EF0EE5" w:rsidRDefault="002663DC" w14:paraId="7A2E0E95"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Roboto Condensed Light">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ypestar-Normal">
    <w:altName w:val="Times New Roman"/>
    <w:panose1 w:val="00000000000000000000"/>
    <w:charset w:val="00"/>
    <w:family w:val="auto"/>
    <w:pitch w:val="variable"/>
    <w:sig w:usb0="8000002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adeGothic-Light">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48379E" w:rsidRDefault="0048379E" w14:paraId="6EE899ED" w14:textId="77777777">
    <w:pPr>
      <w:pStyle w:val="Footer"/>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sdt>
    <w:sdtPr>
      <w:id w:val="-924029064"/>
      <w:docPartObj>
        <w:docPartGallery w:val="Page Numbers (Bottom of Page)"/>
        <w:docPartUnique/>
      </w:docPartObj>
    </w:sdtPr>
    <w:sdtEndPr>
      <w:rPr>
        <w:rFonts w:ascii="Roboto Condensed Light" w:hAnsi="Roboto Condensed Light"/>
        <w:noProof/>
      </w:rPr>
    </w:sdtEndPr>
    <w:sdtContent>
      <w:p w:rsidR="00F83CB3" w:rsidRDefault="00F83CB3" w14:paraId="03068B35" w14:textId="77777777">
        <w:pPr>
          <w:pStyle w:val="Footer"/>
          <w:jc w:val="right"/>
        </w:pPr>
      </w:p>
      <w:p w:rsidR="00F83CB3" w:rsidP="0048379E" w:rsidRDefault="00447C5E" w14:paraId="6CB9C37C" w14:textId="2FD74B32">
        <w:pPr>
          <w:pStyle w:val="Footer"/>
          <w:ind w:left="-993"/>
          <w:jc w:val="right"/>
        </w:pPr>
        <w:r>
          <w:rPr>
            <w:sz w:val="18"/>
            <w:szCs w:val="18"/>
          </w:rPr>
          <w:pict w14:anchorId="14F7CD47">
            <v:rect xmlns:v="urn:schemas-microsoft-com:vml" xmlns:xvml="urn:schemas-microsoft-com:office:excel" xmlns:o="urn:schemas-microsoft-com:office:office" xmlns:w10="urn:schemas-microsoft-com:office:word" xmlns:pvml="urn:schemas-microsoft-com:office:powerpoint" style="width:595.35pt;height:3pt" id="_x0000_i1025" o:hr="t" o:hrstd="t" o:hrnoshade="t" o:hrpct="0.0" o:hralign="center" stroked="f" fillcolor="#881e76"/>
          </w:pict>
        </w:r>
      </w:p>
      <w:p w:rsidRPr="00F83CB3" w:rsidR="0004458B" w:rsidRDefault="0004458B" w14:paraId="5B4F68EE" w14:textId="1304835B">
        <w:pPr>
          <w:pStyle w:val="Footer"/>
          <w:jc w:val="right"/>
          <w:rPr>
            <w:rFonts w:ascii="Roboto Condensed Light" w:hAnsi="Roboto Condensed Light"/>
          </w:rPr>
        </w:pPr>
        <w:r w:rsidRPr="00F83CB3">
          <w:rPr>
            <w:rFonts w:ascii="Roboto Condensed Light" w:hAnsi="Roboto Condensed Light"/>
          </w:rPr>
          <w:fldChar w:fldCharType="begin"/>
        </w:r>
        <w:r w:rsidRPr="00F83CB3">
          <w:rPr>
            <w:rFonts w:ascii="Roboto Condensed Light" w:hAnsi="Roboto Condensed Light"/>
          </w:rPr>
          <w:instrText xml:space="preserve"> PAGE   \* MERGEFORMAT </w:instrText>
        </w:r>
        <w:r w:rsidRPr="00F83CB3">
          <w:rPr>
            <w:rFonts w:ascii="Roboto Condensed Light" w:hAnsi="Roboto Condensed Light"/>
          </w:rPr>
          <w:fldChar w:fldCharType="separate"/>
        </w:r>
        <w:r w:rsidR="00447C5E">
          <w:rPr>
            <w:rFonts w:ascii="Roboto Condensed Light" w:hAnsi="Roboto Condensed Light"/>
            <w:noProof/>
          </w:rPr>
          <w:t>12</w:t>
        </w:r>
        <w:r w:rsidRPr="00F83CB3">
          <w:rPr>
            <w:rFonts w:ascii="Roboto Condensed Light" w:hAnsi="Roboto Condensed Light"/>
            <w:noProof/>
          </w:rPr>
          <w:fldChar w:fldCharType="end"/>
        </w:r>
      </w:p>
    </w:sdtContent>
  </w:sdt>
  <w:p w:rsidR="009B300B" w:rsidRDefault="009B300B" w14:paraId="6D95C1CF" w14:textId="77777777">
    <w:pPr>
      <w:pStyle w:val="Footer"/>
    </w:pP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F83CB3" w:rsidP="000C1C9E" w:rsidRDefault="00447C5E" w14:paraId="60E799E3" w14:textId="77777777">
    <w:pPr>
      <w:pStyle w:val="Footer"/>
      <w:tabs>
        <w:tab w:val="clear" w:pos="9026"/>
        <w:tab w:val="right" w:pos="9617"/>
      </w:tabs>
      <w:ind w:left="-993"/>
      <w:rPr>
        <w:sz w:val="18"/>
        <w:szCs w:val="18"/>
      </w:rPr>
    </w:pPr>
    <w:r>
      <w:rPr>
        <w:sz w:val="18"/>
        <w:szCs w:val="18"/>
      </w:rPr>
      <w:pict w14:anchorId="4BA2F7A2">
        <v:rect xmlns:v="urn:schemas-microsoft-com:vml" xmlns:xvml="urn:schemas-microsoft-com:office:excel" xmlns:o="urn:schemas-microsoft-com:office:office" xmlns:w10="urn:schemas-microsoft-com:office:word" xmlns:pvml="urn:schemas-microsoft-com:office:powerpoint" style="width:595.35pt;height:3pt" id="_x0000_i1026" o:hr="t" o:hrstd="t" o:hrnoshade="t" o:hrpct="0.0" o:hralign="center" stroked="f" fillcolor="#881e76"/>
      </w:pict>
    </w:r>
  </w:p>
  <w:p w:rsidRPr="00F83CB3" w:rsidR="00F83CB3" w:rsidP="00F83CB3" w:rsidRDefault="00F83CB3" w14:paraId="30078297" w14:textId="77777777">
    <w:pPr>
      <w:pStyle w:val="Footer"/>
      <w:jc w:val="right"/>
      <w:rPr>
        <w:rFonts w:ascii="Roboto Condensed Light" w:hAnsi="Roboto Condensed Light"/>
      </w:rPr>
    </w:pPr>
    <w:r w:rsidRPr="00F83CB3">
      <w:rPr>
        <w:rFonts w:ascii="Roboto Condensed Light" w:hAnsi="Roboto Condensed Light"/>
      </w:rPr>
      <w:fldChar w:fldCharType="begin"/>
    </w:r>
    <w:r w:rsidRPr="00F83CB3">
      <w:rPr>
        <w:rFonts w:ascii="Roboto Condensed Light" w:hAnsi="Roboto Condensed Light"/>
      </w:rPr>
      <w:instrText xml:space="preserve"> PAGE   \* MERGEFORMAT </w:instrText>
    </w:r>
    <w:r w:rsidRPr="00F83CB3">
      <w:rPr>
        <w:rFonts w:ascii="Roboto Condensed Light" w:hAnsi="Roboto Condensed Light"/>
      </w:rPr>
      <w:fldChar w:fldCharType="separate"/>
    </w:r>
    <w:r w:rsidR="00447C5E">
      <w:rPr>
        <w:rFonts w:ascii="Roboto Condensed Light" w:hAnsi="Roboto Condensed Light"/>
        <w:noProof/>
      </w:rPr>
      <w:t>1</w:t>
    </w:r>
    <w:r w:rsidRPr="00F83CB3">
      <w:rPr>
        <w:rFonts w:ascii="Roboto Condensed Light" w:hAnsi="Roboto Condensed Light"/>
        <w:noProof/>
      </w:rPr>
      <w:fldChar w:fldCharType="end"/>
    </w:r>
  </w:p>
  <w:p w:rsidR="009B300B" w:rsidP="000C1C9E" w:rsidRDefault="009B300B" w14:paraId="5C17F71D" w14:textId="77777777">
    <w:pPr>
      <w:pStyle w:val="Footer"/>
      <w:ind w:left="-993"/>
    </w:pPr>
  </w:p>
</w:ftr>
</file>

<file path=word/footer4.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F83CB3" w:rsidP="000C1C9E" w:rsidRDefault="00447C5E" w14:paraId="6D04FD7E" w14:textId="77777777">
    <w:pPr>
      <w:pStyle w:val="Footer"/>
      <w:tabs>
        <w:tab w:val="clear" w:pos="9026"/>
        <w:tab w:val="right" w:pos="9617"/>
      </w:tabs>
      <w:ind w:left="-993"/>
      <w:rPr>
        <w:sz w:val="18"/>
        <w:szCs w:val="18"/>
      </w:rPr>
    </w:pPr>
    <w:r>
      <w:rPr>
        <w:sz w:val="18"/>
        <w:szCs w:val="18"/>
      </w:rPr>
      <w:pict w14:anchorId="2D9CA224">
        <v:rect xmlns:v="urn:schemas-microsoft-com:vml" xmlns:xvml="urn:schemas-microsoft-com:office:excel" xmlns:o="urn:schemas-microsoft-com:office:office" xmlns:w10="urn:schemas-microsoft-com:office:word" xmlns:pvml="urn:schemas-microsoft-com:office:powerpoint" style="width:595.35pt;height:3pt" id="_x0000_i1027" o:hr="t" o:hrstd="t" o:hrnoshade="t" o:hrpct="0.0" o:hralign="center" stroked="f" fillcolor="#881e76"/>
      </w:pict>
    </w:r>
  </w:p>
  <w:p w:rsidR="00F83CB3" w:rsidP="000C1C9E" w:rsidRDefault="00F83CB3" w14:paraId="737DB060" w14:textId="77777777">
    <w:pPr>
      <w:pStyle w:val="Footer"/>
      <w:tabs>
        <w:tab w:val="clear" w:pos="9026"/>
        <w:tab w:val="right" w:pos="9617"/>
      </w:tabs>
      <w:ind w:left="-993"/>
      <w:rPr>
        <w:sz w:val="18"/>
        <w:szCs w:val="18"/>
      </w:rPr>
    </w:pPr>
  </w:p>
  <w:p w:rsidRPr="000C1C9E" w:rsidR="00F83CB3" w:rsidP="000C1C9E" w:rsidRDefault="00F83CB3" w14:paraId="37E43867" w14:textId="46871D49">
    <w:pPr>
      <w:pStyle w:val="Footer"/>
      <w:tabs>
        <w:tab w:val="clear" w:pos="9026"/>
        <w:tab w:val="right" w:pos="9617"/>
      </w:tabs>
      <w:ind w:left="-993"/>
      <w:rPr>
        <w:sz w:val="18"/>
        <w:szCs w:val="18"/>
      </w:rPr>
    </w:pPr>
    <w:r w:rsidRPr="000C1C9E">
      <w:rPr>
        <w:sz w:val="18"/>
        <w:szCs w:val="18"/>
      </w:rPr>
      <w:t>Authorised and published by the Crime Statistics Agency, 121 Exhibition Street</w:t>
    </w:r>
    <w:r>
      <w:rPr>
        <w:sz w:val="18"/>
        <w:szCs w:val="18"/>
      </w:rPr>
      <w:t>,</w:t>
    </w:r>
    <w:r w:rsidRPr="000C1C9E">
      <w:rPr>
        <w:sz w:val="18"/>
        <w:szCs w:val="18"/>
      </w:rPr>
      <w:t xml:space="preserve"> Melbourne. ISSN: </w:t>
    </w:r>
    <w:r w:rsidR="000E6A4F">
      <w:rPr>
        <w:sz w:val="18"/>
        <w:szCs w:val="18"/>
      </w:rPr>
      <w:t>2205-6378</w:t>
    </w:r>
  </w:p>
  <w:p w:rsidRPr="000C1C9E" w:rsidR="00F83CB3" w:rsidP="000C1C9E" w:rsidRDefault="00321300" w14:paraId="4954A60D" w14:textId="0F313448">
    <w:pPr>
      <w:pStyle w:val="Footer"/>
      <w:tabs>
        <w:tab w:val="clear" w:pos="9026"/>
        <w:tab w:val="right" w:pos="9617"/>
      </w:tabs>
      <w:ind w:left="-993"/>
      <w:rPr>
        <w:sz w:val="18"/>
        <w:szCs w:val="18"/>
      </w:rPr>
    </w:pPr>
    <w:r>
      <w:rPr>
        <w:sz w:val="18"/>
        <w:szCs w:val="18"/>
      </w:rPr>
      <w:t xml:space="preserve">This work is licensed under a Creative Commons 4.0 International License. When reporting CSA data and publications, you must attribute the Crime Statistics Agency (or CSA) as the source. </w:t>
    </w:r>
    <w:r w:rsidRPr="000C1C9E" w:rsidR="00F83CB3">
      <w:rPr>
        <w:sz w:val="18"/>
        <w:szCs w:val="18"/>
      </w:rPr>
      <w:t xml:space="preserve">If you would like to receive this publication in an accessible format such as large print or audio, telephone 03 8684 1808 or email </w:t>
    </w:r>
    <w:hyperlink w:history="true" r:id="rId1">
      <w:r w:rsidRPr="000C1C9E" w:rsidR="00F83CB3">
        <w:rPr>
          <w:rStyle w:val="Hyperlink"/>
          <w:sz w:val="18"/>
          <w:szCs w:val="18"/>
        </w:rPr>
        <w:t>info@crimestatistics.vic.gov.au</w:t>
      </w:r>
    </w:hyperlink>
    <w:r w:rsidRPr="000C1C9E" w:rsidR="00F83CB3">
      <w:rPr>
        <w:sz w:val="18"/>
        <w:szCs w:val="18"/>
      </w:rPr>
      <w:t xml:space="preserve"> This document is also available in Word format at </w:t>
    </w:r>
    <w:hyperlink w:history="true" r:id="rId2">
      <w:r w:rsidRPr="000C1C9E" w:rsidR="00F83CB3">
        <w:rPr>
          <w:rStyle w:val="Hyperlink"/>
          <w:sz w:val="18"/>
          <w:szCs w:val="18"/>
        </w:rPr>
        <w:t>www.crimestatistics.vic.gov.au</w:t>
      </w:r>
    </w:hyperlink>
  </w:p>
  <w:p w:rsidR="00F83CB3" w:rsidP="000C1C9E" w:rsidRDefault="00F83CB3" w14:paraId="4F732A5F" w14:textId="77777777">
    <w:pPr>
      <w:pStyle w:val="Footer"/>
      <w:ind w:left="-993"/>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footnote w:type="separator" w:id="-1">
    <w:p w:rsidR="002663DC" w:rsidP="00EF0EE5" w:rsidRDefault="002663DC" w14:paraId="3C5ECC87" w14:textId="77777777">
      <w:pPr>
        <w:spacing w:after="0" w:line="240" w:lineRule="auto"/>
      </w:pPr>
      <w:r>
        <w:separator/>
      </w:r>
    </w:p>
  </w:footnote>
  <w:footnote w:type="continuationSeparator" w:id="0">
    <w:p w:rsidR="002663DC" w:rsidP="00EF0EE5" w:rsidRDefault="002663DC" w14:paraId="7557C9BB" w14:textId="77777777">
      <w:pPr>
        <w:spacing w:after="0" w:line="240" w:lineRule="auto"/>
      </w:pPr>
      <w:r>
        <w:continuationSeparator/>
      </w:r>
    </w:p>
  </w:footnote>
  <w:footnote w:id="1">
    <w:p w:rsidRPr="00E11782" w:rsidR="009B300B" w:rsidRDefault="009B300B" w14:paraId="71146090" w14:textId="77777777">
      <w:pPr>
        <w:pStyle w:val="FootnoteText"/>
      </w:pPr>
      <w:r>
        <w:rPr>
          <w:rStyle w:val="FootnoteReference"/>
        </w:rPr>
        <w:footnoteRef/>
      </w:r>
      <w:r>
        <w:t xml:space="preserve"> χ</w:t>
      </w:r>
      <w:r w:rsidRPr="00CE10D3">
        <w:rPr>
          <w:vertAlign w:val="superscript"/>
        </w:rPr>
        <w:t>2</w:t>
      </w:r>
      <w:r>
        <w:t xml:space="preserve">=133.82, </w:t>
      </w:r>
      <w:r>
        <w:rPr>
          <w:i/>
        </w:rPr>
        <w:t>p</w:t>
      </w:r>
      <w:r>
        <w:t>&lt;.0001, df=11, Cramer’s V = 0.05</w:t>
      </w:r>
    </w:p>
  </w:footnote>
  <w:footnote w:id="2">
    <w:p w:rsidR="009B300B" w:rsidRDefault="009B300B" w14:paraId="35C969E0" w14:textId="297DF911">
      <w:pPr>
        <w:pStyle w:val="FootnoteText"/>
      </w:pPr>
      <w:r>
        <w:rPr>
          <w:rStyle w:val="FootnoteReference"/>
        </w:rPr>
        <w:footnoteRef/>
      </w:r>
      <w:r>
        <w:t xml:space="preserve"> χ</w:t>
      </w:r>
      <w:r w:rsidRPr="00CE10D3">
        <w:rPr>
          <w:vertAlign w:val="superscript"/>
        </w:rPr>
        <w:t>2</w:t>
      </w:r>
      <w:r>
        <w:t xml:space="preserve">=162.04, </w:t>
      </w:r>
      <w:r>
        <w:rPr>
          <w:i/>
        </w:rPr>
        <w:t>p</w:t>
      </w:r>
      <w:r>
        <w:t>&lt;.0001, df=1, Cramer’s V = 0.05</w:t>
      </w:r>
    </w:p>
  </w:footnote>
  <w:footnote w:id="3">
    <w:p w:rsidR="009B300B" w:rsidRDefault="009B300B" w14:paraId="0AEF9011" w14:textId="12E62CE1">
      <w:pPr>
        <w:pStyle w:val="FootnoteText"/>
      </w:pPr>
      <w:r>
        <w:rPr>
          <w:rStyle w:val="FootnoteReference"/>
        </w:rPr>
        <w:footnoteRef/>
      </w:r>
      <w:r>
        <w:t xml:space="preserve"> χ</w:t>
      </w:r>
      <w:r w:rsidRPr="00CE10D3">
        <w:rPr>
          <w:vertAlign w:val="superscript"/>
        </w:rPr>
        <w:t>2</w:t>
      </w:r>
      <w:r>
        <w:t xml:space="preserve">=330.38, </w:t>
      </w:r>
      <w:r>
        <w:rPr>
          <w:i/>
        </w:rPr>
        <w:t>p</w:t>
      </w:r>
      <w:r>
        <w:t>&lt;.0001, df=11, Cramer’s V = 0.07</w:t>
      </w:r>
    </w:p>
  </w:footnote>
  <w:footnote w:id="4">
    <w:p w:rsidR="009B300B" w:rsidRDefault="009B300B" w14:paraId="23769FEA" w14:textId="477C985C">
      <w:pPr>
        <w:pStyle w:val="FootnoteText"/>
      </w:pPr>
      <w:r>
        <w:rPr>
          <w:rStyle w:val="FootnoteReference"/>
        </w:rPr>
        <w:footnoteRef/>
      </w:r>
      <w:r>
        <w:t xml:space="preserve"> χ</w:t>
      </w:r>
      <w:r w:rsidRPr="00CE10D3">
        <w:rPr>
          <w:vertAlign w:val="superscript"/>
        </w:rPr>
        <w:t>2</w:t>
      </w:r>
      <w:r>
        <w:t xml:space="preserve">=879.53, </w:t>
      </w:r>
      <w:r>
        <w:rPr>
          <w:i/>
        </w:rPr>
        <w:t>p</w:t>
      </w:r>
      <w:r>
        <w:t>&lt;.0001, df=2, Cramer’s V = 0.13</w:t>
      </w:r>
    </w:p>
  </w:footnote>
  <w:footnote w:id="5">
    <w:p w:rsidR="009B300B" w:rsidRDefault="009B300B" w14:paraId="18E18F47" w14:textId="329F9E75">
      <w:pPr>
        <w:pStyle w:val="FootnoteText"/>
      </w:pPr>
      <w:r>
        <w:rPr>
          <w:rStyle w:val="FootnoteReference"/>
        </w:rPr>
        <w:footnoteRef/>
      </w:r>
      <w:r>
        <w:t xml:space="preserve"> χ</w:t>
      </w:r>
      <w:r w:rsidRPr="00CE10D3">
        <w:rPr>
          <w:vertAlign w:val="superscript"/>
        </w:rPr>
        <w:t>2</w:t>
      </w:r>
      <w:r>
        <w:t xml:space="preserve">=4.02, </w:t>
      </w:r>
      <w:r>
        <w:rPr>
          <w:i/>
        </w:rPr>
        <w:t>p</w:t>
      </w:r>
      <w:r>
        <w:t>=0.02, df=1, Cramer’s V =- 0.01</w:t>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48379E" w:rsidRDefault="0048379E" w14:paraId="44761FD7" w14:textId="317D7F39">
    <w:pPr>
      <w:pStyle w:val="Heade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48379E" w:rsidRDefault="0048379E" w14:paraId="42869046" w14:textId="368680F4">
    <w:pPr>
      <w:pStyle w:val="Header"/>
    </w:pPr>
  </w:p>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9B300B" w:rsidP="00D741F0" w:rsidRDefault="009B300B" w14:paraId="1C53F64F" w14:textId="75D2C286">
    <w:pPr>
      <w:pStyle w:val="Header"/>
      <w:ind w:left="-1418"/>
    </w:pPr>
    <w:r>
      <w:rPr>
        <w:noProof/>
        <w:lang w:eastAsia="en-AU"/>
      </w:rPr>
      <w:drawing>
        <wp:inline distT="0" distB="0" distL="0" distR="0">
          <wp:extent cx="7651115" cy="1237615"/>
          <wp:effectExtent l="0" t="0" r="0" b="635"/>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1" name="Picture 11"/>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1"/>
                  <pic:cNvPicPr>
                    <a:picLocks noChangeAspect="true" noChangeArrowheads="true"/>
                  </pic:cNvPicPr>
                </pic:nvPicPr>
                <pic:blipFill>
                  <a:blip r:embed="rId1">
                    <a:extLst>
                      <a:ext uri="{28A0092B-C50C-407E-A947-70E740481C1C}">
                        <a14:useLocalDpi val="false"/>
                      </a:ext>
                    </a:extLst>
                  </a:blip>
                  <a:srcRect/>
                  <a:stretch>
                    <a:fillRect/>
                  </a:stretch>
                </pic:blipFill>
                <pic:spPr bwMode="auto">
                  <a:xfrm>
                    <a:off x="0" y="0"/>
                    <a:ext cx="7651115" cy="1237615"/>
                  </a:xfrm>
                  <a:prstGeom prst="rect">
                    <a:avLst/>
                  </a:prstGeom>
                  <a:noFill/>
                </pic:spPr>
              </pic:pic>
            </a:graphicData>
          </a:graphic>
        </wp:inline>
      </w:drawing>
    </w:r>
  </w:p>
</w:hdr>
</file>

<file path=word/header4.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B21061" w:rsidRDefault="00B21061" w14:paraId="75440F15" w14:textId="6CC6EF6A">
    <w:pPr>
      <w:pStyle w:val="Header"/>
    </w:pPr>
  </w:p>
</w:hdr>
</file>

<file path=word/header5.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B21061" w:rsidRDefault="00B21061" w14:paraId="0951870F" w14:textId="26DBAF7E">
    <w:pPr>
      <w:pStyle w:val="Header"/>
    </w:pPr>
  </w:p>
</w:hdr>
</file>

<file path=word/header6.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E53A53" w:rsidP="00D741F0" w:rsidRDefault="00E53A53" w14:paraId="64FA8763" w14:textId="610DE2E9">
    <w:pPr>
      <w:pStyle w:val="Header"/>
      <w:ind w:left="-1418"/>
    </w:pP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abstractNum w:abstractNumId="0">
    <w:nsid w:val="02082C7C"/>
    <w:multiLevelType w:val="hybridMultilevel"/>
    <w:tmpl w:val="D43EF9B2"/>
    <w:lvl w:ilvl="0" w:tplc="2914300E">
      <w:start w:val="2"/>
      <w:numFmt w:val="bullet"/>
      <w:lvlText w:val="-"/>
      <w:lvlJc w:val="left"/>
      <w:pPr>
        <w:ind w:left="720" w:hanging="360"/>
      </w:pPr>
      <w:rPr>
        <w:rFonts w:hint="default" w:ascii="Roboto Condensed Light" w:hAnsi="Roboto Condensed Light" w:eastAsia="MS Mincho" w:cs="Times New Roman"/>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0BC2472D"/>
    <w:multiLevelType w:val="hybridMultilevel"/>
    <w:tmpl w:val="DDBCEDF6"/>
    <w:lvl w:ilvl="0" w:tplc="7CA68670">
      <w:numFmt w:val="bullet"/>
      <w:lvlText w:val=""/>
      <w:lvlJc w:val="left"/>
      <w:pPr>
        <w:ind w:left="1080" w:hanging="720"/>
      </w:pPr>
      <w:rPr>
        <w:rFonts w:hint="default" w:ascii="Symbol" w:hAnsi="Symbol" w:eastAsia="MS Mincho" w:cs="Times New Roman"/>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2">
    <w:nsid w:val="1B9B48D2"/>
    <w:multiLevelType w:val="hybridMultilevel"/>
    <w:tmpl w:val="DE9A538A"/>
    <w:lvl w:ilvl="0" w:tplc="A20C143E">
      <w:numFmt w:val="bullet"/>
      <w:lvlText w:val=""/>
      <w:lvlJc w:val="left"/>
      <w:pPr>
        <w:ind w:left="720" w:hanging="360"/>
      </w:pPr>
      <w:rPr>
        <w:rFonts w:hint="default" w:ascii="Symbol" w:hAnsi="Symbol" w:eastAsia="MS Mincho" w:cs="Times New Roman"/>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
    <w:nsid w:val="3AFC2534"/>
    <w:multiLevelType w:val="hybridMultilevel"/>
    <w:tmpl w:val="E85E0A24"/>
    <w:lvl w:ilvl="0" w:tplc="7956403E">
      <w:start w:val="2"/>
      <w:numFmt w:val="bullet"/>
      <w:lvlText w:val=""/>
      <w:lvlJc w:val="left"/>
      <w:pPr>
        <w:ind w:left="720" w:hanging="360"/>
      </w:pPr>
      <w:rPr>
        <w:rFonts w:hint="default" w:ascii="Symbol" w:hAnsi="Symbol" w:eastAsia="MS Mincho" w:cs="Times New Roman"/>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
    <w:nsid w:val="55F016F9"/>
    <w:multiLevelType w:val="hybridMultilevel"/>
    <w:tmpl w:val="F77041F8"/>
    <w:lvl w:ilvl="0" w:tplc="0C09000F">
      <w:start w:val="1"/>
      <w:numFmt w:val="decimal"/>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5">
    <w:nsid w:val="62FD3FA0"/>
    <w:multiLevelType w:val="hybridMultilevel"/>
    <w:tmpl w:val="D08884A2"/>
    <w:lvl w:ilvl="0" w:tplc="76E0F16E">
      <w:numFmt w:val="bullet"/>
      <w:lvlText w:val="-"/>
      <w:lvlJc w:val="left"/>
      <w:pPr>
        <w:ind w:left="720" w:hanging="360"/>
      </w:pPr>
      <w:rPr>
        <w:rFonts w:hint="default" w:ascii="Roboto Condensed Light" w:hAnsi="Roboto Condensed Light" w:eastAsia="MS Mincho" w:cs="Times New Roman"/>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6">
    <w:nsid w:val="64B37520"/>
    <w:multiLevelType w:val="hybridMultilevel"/>
    <w:tmpl w:val="B33EFC4C"/>
    <w:lvl w:ilvl="0" w:tplc="F33E1568">
      <w:start w:val="44"/>
      <w:numFmt w:val="bullet"/>
      <w:lvlText w:val=""/>
      <w:lvlJc w:val="left"/>
      <w:pPr>
        <w:ind w:left="720" w:hanging="360"/>
      </w:pPr>
      <w:rPr>
        <w:rFonts w:hint="default" w:ascii="Symbol" w:hAnsi="Symbol" w:eastAsia="MS Mincho" w:cs="Times New Roman"/>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defaultTabStop w:val="720"/>
  <w:characterSpacingControl w:val="doNotCompress"/>
  <w:hdrShapeDefaults>
    <o:shapedefaults xmlns:o="urn:schemas-microsoft-com:office:office" xmlns:v="urn:schemas-microsoft-com:vml" spidmax="4100"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cf07fc1-9f0b-4486-92b2-5dc7c3bdc859"/>
  </w:docVars>
  <w:rsids>
    <w:rsidRoot w:val="00EF0EE5"/>
    <w:rsid w:val="00002CB3"/>
    <w:rsid w:val="00005699"/>
    <w:rsid w:val="00006116"/>
    <w:rsid w:val="00014EBB"/>
    <w:rsid w:val="000153AB"/>
    <w:rsid w:val="000202DF"/>
    <w:rsid w:val="00022F78"/>
    <w:rsid w:val="00032FB9"/>
    <w:rsid w:val="00034DFA"/>
    <w:rsid w:val="00043F3E"/>
    <w:rsid w:val="0004458B"/>
    <w:rsid w:val="000458AD"/>
    <w:rsid w:val="000471BE"/>
    <w:rsid w:val="000735B7"/>
    <w:rsid w:val="00082654"/>
    <w:rsid w:val="00092B96"/>
    <w:rsid w:val="000A4F64"/>
    <w:rsid w:val="000B3A71"/>
    <w:rsid w:val="000C1237"/>
    <w:rsid w:val="000C1C9E"/>
    <w:rsid w:val="000D2891"/>
    <w:rsid w:val="000D2F7B"/>
    <w:rsid w:val="000D49C7"/>
    <w:rsid w:val="000E2BA2"/>
    <w:rsid w:val="000E4AB3"/>
    <w:rsid w:val="000E6A4F"/>
    <w:rsid w:val="000F0788"/>
    <w:rsid w:val="000F0ED4"/>
    <w:rsid w:val="000F7285"/>
    <w:rsid w:val="00110E83"/>
    <w:rsid w:val="00114963"/>
    <w:rsid w:val="00135BEA"/>
    <w:rsid w:val="00145B6F"/>
    <w:rsid w:val="00145B7A"/>
    <w:rsid w:val="0015095A"/>
    <w:rsid w:val="00151462"/>
    <w:rsid w:val="00160118"/>
    <w:rsid w:val="0019642F"/>
    <w:rsid w:val="001A229B"/>
    <w:rsid w:val="001A3C00"/>
    <w:rsid w:val="001B2728"/>
    <w:rsid w:val="001B6508"/>
    <w:rsid w:val="001C3A12"/>
    <w:rsid w:val="001C418F"/>
    <w:rsid w:val="001C7365"/>
    <w:rsid w:val="001E2DE2"/>
    <w:rsid w:val="001F770F"/>
    <w:rsid w:val="001F7940"/>
    <w:rsid w:val="00206A15"/>
    <w:rsid w:val="002145D5"/>
    <w:rsid w:val="00225928"/>
    <w:rsid w:val="00227868"/>
    <w:rsid w:val="00231779"/>
    <w:rsid w:val="002324AE"/>
    <w:rsid w:val="00241BCE"/>
    <w:rsid w:val="00245410"/>
    <w:rsid w:val="00245C97"/>
    <w:rsid w:val="002460AF"/>
    <w:rsid w:val="00261772"/>
    <w:rsid w:val="002663DC"/>
    <w:rsid w:val="0027321B"/>
    <w:rsid w:val="0027575A"/>
    <w:rsid w:val="00281E23"/>
    <w:rsid w:val="002930FD"/>
    <w:rsid w:val="002A5459"/>
    <w:rsid w:val="002C0D8F"/>
    <w:rsid w:val="002D1FFE"/>
    <w:rsid w:val="002D5C44"/>
    <w:rsid w:val="002D6A15"/>
    <w:rsid w:val="00310014"/>
    <w:rsid w:val="00311DCC"/>
    <w:rsid w:val="0031461E"/>
    <w:rsid w:val="00317691"/>
    <w:rsid w:val="0032118F"/>
    <w:rsid w:val="00321300"/>
    <w:rsid w:val="003249ED"/>
    <w:rsid w:val="0033127E"/>
    <w:rsid w:val="003320CF"/>
    <w:rsid w:val="00334ADA"/>
    <w:rsid w:val="0034048F"/>
    <w:rsid w:val="003439FE"/>
    <w:rsid w:val="003452BC"/>
    <w:rsid w:val="00345394"/>
    <w:rsid w:val="0035684D"/>
    <w:rsid w:val="00361ABC"/>
    <w:rsid w:val="003640E6"/>
    <w:rsid w:val="003652DB"/>
    <w:rsid w:val="00366FB3"/>
    <w:rsid w:val="00380897"/>
    <w:rsid w:val="00381975"/>
    <w:rsid w:val="00393323"/>
    <w:rsid w:val="00393FD3"/>
    <w:rsid w:val="00396EF9"/>
    <w:rsid w:val="003A04BD"/>
    <w:rsid w:val="003A505E"/>
    <w:rsid w:val="003B0AEC"/>
    <w:rsid w:val="003E5548"/>
    <w:rsid w:val="003F52EF"/>
    <w:rsid w:val="00401F65"/>
    <w:rsid w:val="00401F6C"/>
    <w:rsid w:val="0040391A"/>
    <w:rsid w:val="004112A9"/>
    <w:rsid w:val="004128BE"/>
    <w:rsid w:val="00413B22"/>
    <w:rsid w:val="00414ADE"/>
    <w:rsid w:val="00420FEC"/>
    <w:rsid w:val="004222B7"/>
    <w:rsid w:val="00447C5E"/>
    <w:rsid w:val="00460E02"/>
    <w:rsid w:val="00462673"/>
    <w:rsid w:val="00464981"/>
    <w:rsid w:val="00473A31"/>
    <w:rsid w:val="0048379E"/>
    <w:rsid w:val="00486537"/>
    <w:rsid w:val="00492396"/>
    <w:rsid w:val="00496CF9"/>
    <w:rsid w:val="004A5B53"/>
    <w:rsid w:val="004A69BE"/>
    <w:rsid w:val="004A7813"/>
    <w:rsid w:val="004A7CBD"/>
    <w:rsid w:val="004B7B68"/>
    <w:rsid w:val="004B7C37"/>
    <w:rsid w:val="004C19C4"/>
    <w:rsid w:val="004C40C2"/>
    <w:rsid w:val="004D4CBD"/>
    <w:rsid w:val="004D56EA"/>
    <w:rsid w:val="004E067C"/>
    <w:rsid w:val="004E1E8B"/>
    <w:rsid w:val="004E6274"/>
    <w:rsid w:val="004F7BB0"/>
    <w:rsid w:val="00514D5B"/>
    <w:rsid w:val="00516EBC"/>
    <w:rsid w:val="00517965"/>
    <w:rsid w:val="00520844"/>
    <w:rsid w:val="00540835"/>
    <w:rsid w:val="00543F72"/>
    <w:rsid w:val="0054434F"/>
    <w:rsid w:val="00544CF2"/>
    <w:rsid w:val="0054566C"/>
    <w:rsid w:val="00546E47"/>
    <w:rsid w:val="00560396"/>
    <w:rsid w:val="00560A9C"/>
    <w:rsid w:val="00562698"/>
    <w:rsid w:val="00566771"/>
    <w:rsid w:val="0057281C"/>
    <w:rsid w:val="00572BCC"/>
    <w:rsid w:val="00574533"/>
    <w:rsid w:val="0058005E"/>
    <w:rsid w:val="005867AB"/>
    <w:rsid w:val="005A052F"/>
    <w:rsid w:val="005B5BBE"/>
    <w:rsid w:val="005B6FBE"/>
    <w:rsid w:val="005C17CB"/>
    <w:rsid w:val="005C1D4C"/>
    <w:rsid w:val="005D4548"/>
    <w:rsid w:val="005F3FFD"/>
    <w:rsid w:val="006005C0"/>
    <w:rsid w:val="0060532C"/>
    <w:rsid w:val="00611EB5"/>
    <w:rsid w:val="00614996"/>
    <w:rsid w:val="00622D0D"/>
    <w:rsid w:val="0062554B"/>
    <w:rsid w:val="00626221"/>
    <w:rsid w:val="00631424"/>
    <w:rsid w:val="00634C58"/>
    <w:rsid w:val="00643BE1"/>
    <w:rsid w:val="00651DCB"/>
    <w:rsid w:val="006619E0"/>
    <w:rsid w:val="00664DBA"/>
    <w:rsid w:val="00666F61"/>
    <w:rsid w:val="00676111"/>
    <w:rsid w:val="00681C52"/>
    <w:rsid w:val="00686A68"/>
    <w:rsid w:val="00693FDF"/>
    <w:rsid w:val="006A19C9"/>
    <w:rsid w:val="006C1651"/>
    <w:rsid w:val="006C3DBB"/>
    <w:rsid w:val="006C5137"/>
    <w:rsid w:val="006D5460"/>
    <w:rsid w:val="006E3EB9"/>
    <w:rsid w:val="006F0E4B"/>
    <w:rsid w:val="006F6AF1"/>
    <w:rsid w:val="00703C7C"/>
    <w:rsid w:val="00707779"/>
    <w:rsid w:val="00707BEE"/>
    <w:rsid w:val="00721FD3"/>
    <w:rsid w:val="00726FF0"/>
    <w:rsid w:val="007309C6"/>
    <w:rsid w:val="00741D1D"/>
    <w:rsid w:val="00756857"/>
    <w:rsid w:val="00762568"/>
    <w:rsid w:val="00777710"/>
    <w:rsid w:val="00791EE2"/>
    <w:rsid w:val="00794910"/>
    <w:rsid w:val="007B7C99"/>
    <w:rsid w:val="007C0FD1"/>
    <w:rsid w:val="007D28B2"/>
    <w:rsid w:val="007E13AD"/>
    <w:rsid w:val="008045CC"/>
    <w:rsid w:val="00816A08"/>
    <w:rsid w:val="00821283"/>
    <w:rsid w:val="0082436F"/>
    <w:rsid w:val="008449C5"/>
    <w:rsid w:val="0085455B"/>
    <w:rsid w:val="00857E65"/>
    <w:rsid w:val="00862ACA"/>
    <w:rsid w:val="0086496E"/>
    <w:rsid w:val="00867AF9"/>
    <w:rsid w:val="00872092"/>
    <w:rsid w:val="0088170B"/>
    <w:rsid w:val="00881D1E"/>
    <w:rsid w:val="00885F57"/>
    <w:rsid w:val="0089291B"/>
    <w:rsid w:val="008B463F"/>
    <w:rsid w:val="008B50DC"/>
    <w:rsid w:val="008C7453"/>
    <w:rsid w:val="008D0DE4"/>
    <w:rsid w:val="008D45E5"/>
    <w:rsid w:val="008D67C8"/>
    <w:rsid w:val="008F2FE7"/>
    <w:rsid w:val="009020A6"/>
    <w:rsid w:val="00905593"/>
    <w:rsid w:val="00912F23"/>
    <w:rsid w:val="009154E1"/>
    <w:rsid w:val="00917F2B"/>
    <w:rsid w:val="00923216"/>
    <w:rsid w:val="009312B0"/>
    <w:rsid w:val="00952F4D"/>
    <w:rsid w:val="009641F6"/>
    <w:rsid w:val="00965C57"/>
    <w:rsid w:val="00983E1C"/>
    <w:rsid w:val="00986B5A"/>
    <w:rsid w:val="00997DDB"/>
    <w:rsid w:val="009B300B"/>
    <w:rsid w:val="009C0066"/>
    <w:rsid w:val="009C1AB5"/>
    <w:rsid w:val="009C764C"/>
    <w:rsid w:val="009D632D"/>
    <w:rsid w:val="009E4B30"/>
    <w:rsid w:val="009E50F8"/>
    <w:rsid w:val="009F2F6A"/>
    <w:rsid w:val="009F6EE8"/>
    <w:rsid w:val="009F7006"/>
    <w:rsid w:val="00A00E85"/>
    <w:rsid w:val="00A06EEC"/>
    <w:rsid w:val="00A2266A"/>
    <w:rsid w:val="00A351F2"/>
    <w:rsid w:val="00A41671"/>
    <w:rsid w:val="00A43EB0"/>
    <w:rsid w:val="00A451ED"/>
    <w:rsid w:val="00A47713"/>
    <w:rsid w:val="00A52CB1"/>
    <w:rsid w:val="00A71CFD"/>
    <w:rsid w:val="00A81B08"/>
    <w:rsid w:val="00A85E4F"/>
    <w:rsid w:val="00A8792A"/>
    <w:rsid w:val="00A919B3"/>
    <w:rsid w:val="00A91C65"/>
    <w:rsid w:val="00A950F0"/>
    <w:rsid w:val="00AF7CF6"/>
    <w:rsid w:val="00B002EE"/>
    <w:rsid w:val="00B03F1E"/>
    <w:rsid w:val="00B04818"/>
    <w:rsid w:val="00B0769F"/>
    <w:rsid w:val="00B102DF"/>
    <w:rsid w:val="00B21061"/>
    <w:rsid w:val="00B21A2B"/>
    <w:rsid w:val="00B30D91"/>
    <w:rsid w:val="00B565A1"/>
    <w:rsid w:val="00B652F2"/>
    <w:rsid w:val="00B67F57"/>
    <w:rsid w:val="00B712C7"/>
    <w:rsid w:val="00B74E5C"/>
    <w:rsid w:val="00B760C8"/>
    <w:rsid w:val="00BB058A"/>
    <w:rsid w:val="00BB69E8"/>
    <w:rsid w:val="00BB6ABA"/>
    <w:rsid w:val="00BC26EC"/>
    <w:rsid w:val="00BC6762"/>
    <w:rsid w:val="00BD0ECF"/>
    <w:rsid w:val="00BD65F5"/>
    <w:rsid w:val="00BE5843"/>
    <w:rsid w:val="00BE7147"/>
    <w:rsid w:val="00BF5B57"/>
    <w:rsid w:val="00BF74C3"/>
    <w:rsid w:val="00C0754B"/>
    <w:rsid w:val="00C07C35"/>
    <w:rsid w:val="00C10DFE"/>
    <w:rsid w:val="00C24F40"/>
    <w:rsid w:val="00C2668A"/>
    <w:rsid w:val="00C316CC"/>
    <w:rsid w:val="00C35D99"/>
    <w:rsid w:val="00C36B21"/>
    <w:rsid w:val="00C376A0"/>
    <w:rsid w:val="00C44624"/>
    <w:rsid w:val="00C46D52"/>
    <w:rsid w:val="00C515AF"/>
    <w:rsid w:val="00C53386"/>
    <w:rsid w:val="00C57F91"/>
    <w:rsid w:val="00C67A15"/>
    <w:rsid w:val="00C67BCE"/>
    <w:rsid w:val="00C71C32"/>
    <w:rsid w:val="00C859F7"/>
    <w:rsid w:val="00C868B4"/>
    <w:rsid w:val="00C927BD"/>
    <w:rsid w:val="00C92F62"/>
    <w:rsid w:val="00C93E94"/>
    <w:rsid w:val="00CA3CCF"/>
    <w:rsid w:val="00CB10B9"/>
    <w:rsid w:val="00CB1BD3"/>
    <w:rsid w:val="00CB51DC"/>
    <w:rsid w:val="00CC02A0"/>
    <w:rsid w:val="00CC0F93"/>
    <w:rsid w:val="00CC4728"/>
    <w:rsid w:val="00CD3DB8"/>
    <w:rsid w:val="00CE10D3"/>
    <w:rsid w:val="00CE3D9C"/>
    <w:rsid w:val="00D0426C"/>
    <w:rsid w:val="00D12D85"/>
    <w:rsid w:val="00D200DB"/>
    <w:rsid w:val="00D400CF"/>
    <w:rsid w:val="00D514BA"/>
    <w:rsid w:val="00D56A7C"/>
    <w:rsid w:val="00D56B88"/>
    <w:rsid w:val="00D62E93"/>
    <w:rsid w:val="00D62F82"/>
    <w:rsid w:val="00D741F0"/>
    <w:rsid w:val="00D74A3A"/>
    <w:rsid w:val="00D87863"/>
    <w:rsid w:val="00D87E78"/>
    <w:rsid w:val="00D90B54"/>
    <w:rsid w:val="00D90D28"/>
    <w:rsid w:val="00DA1C93"/>
    <w:rsid w:val="00DA3A3B"/>
    <w:rsid w:val="00DB4DE2"/>
    <w:rsid w:val="00DC3B4D"/>
    <w:rsid w:val="00DC3E48"/>
    <w:rsid w:val="00DD3430"/>
    <w:rsid w:val="00DE1235"/>
    <w:rsid w:val="00DF1BB4"/>
    <w:rsid w:val="00E11782"/>
    <w:rsid w:val="00E132BE"/>
    <w:rsid w:val="00E2029C"/>
    <w:rsid w:val="00E25F0C"/>
    <w:rsid w:val="00E3022F"/>
    <w:rsid w:val="00E335A8"/>
    <w:rsid w:val="00E401A2"/>
    <w:rsid w:val="00E53A53"/>
    <w:rsid w:val="00E56676"/>
    <w:rsid w:val="00E63F5B"/>
    <w:rsid w:val="00E6441E"/>
    <w:rsid w:val="00E72DDD"/>
    <w:rsid w:val="00E82D1A"/>
    <w:rsid w:val="00EC01E9"/>
    <w:rsid w:val="00EC47DF"/>
    <w:rsid w:val="00EC61B8"/>
    <w:rsid w:val="00EC74B7"/>
    <w:rsid w:val="00ED2AB9"/>
    <w:rsid w:val="00ED566C"/>
    <w:rsid w:val="00EF0EE5"/>
    <w:rsid w:val="00F042E3"/>
    <w:rsid w:val="00F23789"/>
    <w:rsid w:val="00F25773"/>
    <w:rsid w:val="00F30C48"/>
    <w:rsid w:val="00F36194"/>
    <w:rsid w:val="00F46841"/>
    <w:rsid w:val="00F4691F"/>
    <w:rsid w:val="00F46FB3"/>
    <w:rsid w:val="00F52FF2"/>
    <w:rsid w:val="00F531E6"/>
    <w:rsid w:val="00F5609A"/>
    <w:rsid w:val="00F564D5"/>
    <w:rsid w:val="00F67154"/>
    <w:rsid w:val="00F83CB3"/>
    <w:rsid w:val="00F847ED"/>
    <w:rsid w:val="00F86047"/>
    <w:rsid w:val="00FA0E89"/>
    <w:rsid w:val="00FA44C3"/>
    <w:rsid w:val="00FA6E68"/>
    <w:rsid w:val="00FA7778"/>
    <w:rsid w:val="00FB6DB9"/>
    <w:rsid w:val="00FD55EF"/>
    <w:rsid w:val="00FE1A2D"/>
    <w:rsid w:val="00FE610E"/>
    <w:rsid w:val="00FF3AB6"/>
    <w:rsid w:val="00FF59AC"/>
    <w:rsid w:val="00FF66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xmlns:o="urn:schemas-microsoft-com:office:office" xmlns:v="urn:schemas-microsoft-com:vml" spidmax="4100" v:ext="edit"/>
    <o:shapelayout xmlns:o="urn:schemas-microsoft-com:office:office" xmlns:v="urn:schemas-microsoft-com:vml" v:ext="edit">
      <o:idmap data="1" v:ext="edit"/>
    </o:shapelayout>
  </w:shapeDefaults>
  <w:decimalSymbol w:val="."/>
  <w:listSeparator w:val=","/>
  <w14:docId w14:val="2D614C29"/>
  <w15:docId w15:val="{5BAF2F4B-C444-4BAC-8D35-CA84B7C26955}"/>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style>
  <w:style w:type="paragraph" w:styleId="Heading1">
    <w:name w:val="heading 1"/>
    <w:basedOn w:val="Normal"/>
    <w:next w:val="Normal"/>
    <w:link w:val="Heading1Char"/>
    <w:uiPriority w:val="9"/>
    <w:qFormat/>
    <w:rsid w:val="00EF0EE5"/>
    <w:pPr>
      <w:widowControl w:val="false"/>
      <w:suppressAutoHyphens/>
      <w:autoSpaceDE w:val="false"/>
      <w:autoSpaceDN w:val="false"/>
      <w:adjustRightInd w:val="false"/>
      <w:spacing w:after="120" w:line="400" w:lineRule="atLeast"/>
      <w:textAlignment w:val="center"/>
      <w:outlineLvl w:val="0"/>
    </w:pPr>
    <w:rPr>
      <w:rFonts w:ascii="Typestar-Normal" w:hAnsi="Typestar-Normal" w:cs="Times New Roman" w:eastAsiaTheme="minorEastAsia"/>
      <w:b/>
      <w:bCs/>
      <w:color w:val="490F36"/>
      <w:sz w:val="36"/>
      <w:szCs w:val="36"/>
      <w:lang w:val="en-GB"/>
    </w:rPr>
  </w:style>
  <w:style w:type="paragraph" w:styleId="Heading3">
    <w:name w:val="heading 3"/>
    <w:basedOn w:val="Normal"/>
    <w:next w:val="Normal"/>
    <w:link w:val="Heading3Char"/>
    <w:uiPriority w:val="9"/>
    <w:semiHidden/>
    <w:unhideWhenUsed/>
    <w:qFormat/>
    <w:rsid w:val="000458AD"/>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EF0EE5"/>
    <w:pPr>
      <w:tabs>
        <w:tab w:val="center" w:pos="4513"/>
        <w:tab w:val="right" w:pos="9026"/>
      </w:tabs>
      <w:spacing w:after="0" w:line="240" w:lineRule="auto"/>
    </w:pPr>
  </w:style>
  <w:style w:type="character" w:styleId="HeaderChar" w:customStyle="true">
    <w:name w:val="Header Char"/>
    <w:basedOn w:val="DefaultParagraphFont"/>
    <w:link w:val="Header"/>
    <w:uiPriority w:val="99"/>
    <w:rsid w:val="00EF0EE5"/>
  </w:style>
  <w:style w:type="paragraph" w:styleId="Footer">
    <w:name w:val="footer"/>
    <w:basedOn w:val="Normal"/>
    <w:link w:val="FooterChar"/>
    <w:uiPriority w:val="99"/>
    <w:unhideWhenUsed/>
    <w:rsid w:val="00EF0EE5"/>
    <w:pPr>
      <w:tabs>
        <w:tab w:val="center" w:pos="4513"/>
        <w:tab w:val="right" w:pos="9026"/>
      </w:tabs>
      <w:spacing w:after="0" w:line="240" w:lineRule="auto"/>
    </w:pPr>
  </w:style>
  <w:style w:type="character" w:styleId="FooterChar" w:customStyle="true">
    <w:name w:val="Footer Char"/>
    <w:basedOn w:val="DefaultParagraphFont"/>
    <w:link w:val="Footer"/>
    <w:uiPriority w:val="99"/>
    <w:rsid w:val="00EF0EE5"/>
  </w:style>
  <w:style w:type="character" w:styleId="Heading1Char" w:customStyle="true">
    <w:name w:val="Heading 1 Char"/>
    <w:basedOn w:val="DefaultParagraphFont"/>
    <w:link w:val="Heading1"/>
    <w:uiPriority w:val="9"/>
    <w:rsid w:val="00EF0EE5"/>
    <w:rPr>
      <w:rFonts w:ascii="Typestar-Normal" w:hAnsi="Typestar-Normal" w:cs="Times New Roman" w:eastAsiaTheme="minorEastAsia"/>
      <w:b/>
      <w:bCs/>
      <w:color w:val="490F36"/>
      <w:sz w:val="36"/>
      <w:szCs w:val="36"/>
      <w:lang w:val="en-GB"/>
    </w:rPr>
  </w:style>
  <w:style w:type="character" w:styleId="Heading3Char" w:customStyle="true">
    <w:name w:val="Heading 3 Char"/>
    <w:basedOn w:val="DefaultParagraphFont"/>
    <w:link w:val="Heading3"/>
    <w:uiPriority w:val="9"/>
    <w:semiHidden/>
    <w:rsid w:val="000458AD"/>
    <w:rPr>
      <w:rFonts w:asciiTheme="majorHAnsi" w:hAnsiTheme="majorHAnsi" w:eastAsiaTheme="majorEastAsia" w:cstheme="majorBidi"/>
      <w:color w:val="1F4D78" w:themeColor="accent1" w:themeShade="7F"/>
      <w:sz w:val="24"/>
      <w:szCs w:val="24"/>
    </w:rPr>
  </w:style>
  <w:style w:type="paragraph" w:styleId="ListParagraph">
    <w:name w:val="List Paragraph"/>
    <w:basedOn w:val="Normal"/>
    <w:uiPriority w:val="34"/>
    <w:qFormat/>
    <w:rsid w:val="000458AD"/>
    <w:pPr>
      <w:ind w:left="720"/>
      <w:contextualSpacing/>
    </w:pPr>
  </w:style>
  <w:style w:type="character" w:styleId="Emphasis">
    <w:name w:val="Emphasis"/>
    <w:basedOn w:val="DefaultParagraphFont"/>
    <w:uiPriority w:val="20"/>
    <w:qFormat/>
    <w:rsid w:val="00762568"/>
    <w:rPr>
      <w:i/>
      <w:iCs/>
    </w:rPr>
  </w:style>
  <w:style w:type="paragraph" w:styleId="FootnoteText">
    <w:name w:val="footnote text"/>
    <w:basedOn w:val="Normal"/>
    <w:link w:val="FootnoteTextChar"/>
    <w:uiPriority w:val="99"/>
    <w:unhideWhenUsed/>
    <w:rsid w:val="0089291B"/>
    <w:pPr>
      <w:spacing w:after="0" w:line="240" w:lineRule="auto"/>
    </w:pPr>
    <w:rPr>
      <w:sz w:val="20"/>
      <w:szCs w:val="20"/>
    </w:rPr>
  </w:style>
  <w:style w:type="character" w:styleId="FootnoteTextChar" w:customStyle="true">
    <w:name w:val="Footnote Text Char"/>
    <w:basedOn w:val="DefaultParagraphFont"/>
    <w:link w:val="FootnoteText"/>
    <w:uiPriority w:val="99"/>
    <w:rsid w:val="0089291B"/>
    <w:rPr>
      <w:sz w:val="20"/>
      <w:szCs w:val="20"/>
    </w:rPr>
  </w:style>
  <w:style w:type="character" w:styleId="FootnoteReference">
    <w:name w:val="footnote reference"/>
    <w:basedOn w:val="DefaultParagraphFont"/>
    <w:uiPriority w:val="99"/>
    <w:unhideWhenUsed/>
    <w:rsid w:val="0089291B"/>
    <w:rPr>
      <w:vertAlign w:val="superscript"/>
    </w:rPr>
  </w:style>
  <w:style w:type="character" w:styleId="Hyperlink">
    <w:name w:val="Hyperlink"/>
    <w:basedOn w:val="DefaultParagraphFont"/>
    <w:uiPriority w:val="99"/>
    <w:unhideWhenUsed/>
    <w:rsid w:val="004A5B53"/>
    <w:rPr>
      <w:color w:val="0563C1" w:themeColor="hyperlink"/>
      <w:u w:val="single"/>
    </w:rPr>
  </w:style>
  <w:style w:type="paragraph" w:styleId="BodyTextSpaceAfter" w:customStyle="true">
    <w:name w:val="Body Text Space After"/>
    <w:basedOn w:val="Normal"/>
    <w:link w:val="BodyTextSpaceAfterChar"/>
    <w:uiPriority w:val="99"/>
    <w:qFormat/>
    <w:rsid w:val="00C53386"/>
    <w:pPr>
      <w:widowControl w:val="false"/>
      <w:suppressAutoHyphens/>
      <w:autoSpaceDE w:val="false"/>
      <w:autoSpaceDN w:val="false"/>
      <w:adjustRightInd w:val="false"/>
      <w:spacing w:after="227" w:line="250" w:lineRule="atLeast"/>
      <w:textAlignment w:val="center"/>
    </w:pPr>
    <w:rPr>
      <w:rFonts w:ascii="Roboto Condensed Light" w:hAnsi="Roboto Condensed Light" w:cs="TradeGothic-Light" w:eastAsiaTheme="minorEastAsia"/>
      <w:color w:val="000000"/>
      <w:lang w:val="en-GB"/>
    </w:rPr>
  </w:style>
  <w:style w:type="paragraph" w:styleId="BodyText">
    <w:name w:val="Body Text"/>
    <w:aliases w:val="Body - No spacing"/>
    <w:basedOn w:val="BodyTextSpaceAfter"/>
    <w:link w:val="BodyTextChar"/>
    <w:uiPriority w:val="99"/>
    <w:qFormat/>
    <w:rsid w:val="00C53386"/>
    <w:pPr>
      <w:spacing w:after="57"/>
    </w:pPr>
  </w:style>
  <w:style w:type="character" w:styleId="BodyTextChar" w:customStyle="true">
    <w:name w:val="Body Text Char"/>
    <w:aliases w:val="Body - No spacing Char"/>
    <w:basedOn w:val="DefaultParagraphFont"/>
    <w:link w:val="BodyText"/>
    <w:uiPriority w:val="99"/>
    <w:rsid w:val="00C53386"/>
    <w:rPr>
      <w:rFonts w:ascii="Roboto Condensed Light" w:hAnsi="Roboto Condensed Light" w:cs="TradeGothic-Light" w:eastAsiaTheme="minorEastAsia"/>
      <w:color w:val="000000"/>
      <w:lang w:val="en-GB"/>
    </w:rPr>
  </w:style>
  <w:style w:type="character" w:styleId="BodyTextSpaceAfterChar" w:customStyle="true">
    <w:name w:val="Body Text Space After Char"/>
    <w:basedOn w:val="DefaultParagraphFont"/>
    <w:link w:val="BodyTextSpaceAfter"/>
    <w:uiPriority w:val="99"/>
    <w:rsid w:val="00C53386"/>
    <w:rPr>
      <w:rFonts w:ascii="Roboto Condensed Light" w:hAnsi="Roboto Condensed Light" w:cs="TradeGothic-Light" w:eastAsiaTheme="minorEastAsia"/>
      <w:color w:val="000000"/>
      <w:lang w:val="en-GB"/>
    </w:rPr>
  </w:style>
  <w:style w:type="table" w:styleId="TableGrid">
    <w:name w:val="Table Grid"/>
    <w:basedOn w:val="TableNormal"/>
    <w:uiPriority w:val="59"/>
    <w:rsid w:val="00C53386"/>
    <w:pPr>
      <w:spacing w:after="0" w:line="240" w:lineRule="auto"/>
    </w:pPr>
    <w:rPr>
      <w:rFonts w:eastAsiaTheme="minorEastAsia"/>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9641F6"/>
    <w:pPr>
      <w:spacing w:after="0" w:line="240" w:lineRule="auto"/>
    </w:pPr>
    <w:rPr>
      <w:rFonts w:ascii="Lucida Grande" w:hAnsi="Lucida Grande" w:cs="Lucida Grande"/>
      <w:sz w:val="18"/>
      <w:szCs w:val="18"/>
    </w:rPr>
  </w:style>
  <w:style w:type="character" w:styleId="BalloonTextChar" w:customStyle="true">
    <w:name w:val="Balloon Text Char"/>
    <w:basedOn w:val="DefaultParagraphFont"/>
    <w:link w:val="BalloonText"/>
    <w:uiPriority w:val="99"/>
    <w:semiHidden/>
    <w:rsid w:val="009641F6"/>
    <w:rPr>
      <w:rFonts w:ascii="Lucida Grande" w:hAnsi="Lucida Grande" w:cs="Lucida Grande"/>
      <w:sz w:val="18"/>
      <w:szCs w:val="18"/>
    </w:rPr>
  </w:style>
  <w:style w:type="paragraph" w:styleId="NoSpacing">
    <w:name w:val="No Spacing"/>
    <w:uiPriority w:val="1"/>
    <w:qFormat/>
    <w:rsid w:val="003E5548"/>
    <w:pPr>
      <w:spacing w:after="0" w:line="240" w:lineRule="auto"/>
    </w:p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optimizeForBrowser/>
  <w:allowPNG/>
</w:webSettings>
</file>

<file path=word/_rels/document.xml.rels><?xml version="1.0" encoding="UTF-8"?>
<Relationships xmlns="http://schemas.openxmlformats.org/package/2006/relationships">
   <Relationship Target="media/image1.png" Type="http://schemas.openxmlformats.org/officeDocument/2006/relationships/image" Id="rId8"/>
   <Relationship Target="charts/chart5.xml" Type="http://schemas.openxmlformats.org/officeDocument/2006/relationships/chart" Id="rId13"/>
   <Relationship Target="header3.xml" Type="http://schemas.openxmlformats.org/officeDocument/2006/relationships/header" Id="rId18"/>
   <Relationship Target="fontTable.xml" Type="http://schemas.openxmlformats.org/officeDocument/2006/relationships/fontTable" Id="rId26"/>
   <Relationship Target="styles.xml" Type="http://schemas.openxmlformats.org/officeDocument/2006/relationships/styles" Id="rId3"/>
   <Relationship TargetMode="External" Target="http://www.crimestatistics.vic.gov.au/home/about+the+data/classifications/offence+classification" Type="http://schemas.openxmlformats.org/officeDocument/2006/relationships/hyperlink" Id="rId21"/>
   <Relationship Target="endnotes.xml" Type="http://schemas.openxmlformats.org/officeDocument/2006/relationships/endnotes" Id="rId7"/>
   <Relationship Target="charts/chart4.xml" Type="http://schemas.openxmlformats.org/officeDocument/2006/relationships/chart" Id="rId12"/>
   <Relationship Target="footer2.xml" Type="http://schemas.openxmlformats.org/officeDocument/2006/relationships/footer" Id="rId17"/>
   <Relationship Target="footer4.xml" Type="http://schemas.openxmlformats.org/officeDocument/2006/relationships/footer" Id="rId25"/>
   <Relationship Target="numbering.xml" Type="http://schemas.openxmlformats.org/officeDocument/2006/relationships/numbering" Id="rId2"/>
   <Relationship Target="footer1.xml" Type="http://schemas.openxmlformats.org/officeDocument/2006/relationships/footer" Id="rId16"/>
   <Relationship TargetMode="External" Target="http://www.crimestatistics.vic.gov.au/home/crime+statistics/year+ending+31+march+2015/download+data" Type="http://schemas.openxmlformats.org/officeDocument/2006/relationships/hyperlink" Id="rId20"/>
   <Relationship Target="../customXml/item1.xml" Type="http://schemas.openxmlformats.org/officeDocument/2006/relationships/customXml" Id="rId1"/>
   <Relationship Target="footnotes.xml" Type="http://schemas.openxmlformats.org/officeDocument/2006/relationships/footnotes" Id="rId6"/>
   <Relationship Target="charts/chart3.xml" Type="http://schemas.openxmlformats.org/officeDocument/2006/relationships/chart" Id="rId11"/>
   <Relationship Target="header6.xml" Type="http://schemas.openxmlformats.org/officeDocument/2006/relationships/header" Id="rId24"/>
   <Relationship Target="webSettings.xml" Type="http://schemas.openxmlformats.org/officeDocument/2006/relationships/webSettings" Id="rId5"/>
   <Relationship Target="header2.xml" Type="http://schemas.openxmlformats.org/officeDocument/2006/relationships/header" Id="rId15"/>
   <Relationship Target="header5.xml" Type="http://schemas.openxmlformats.org/officeDocument/2006/relationships/header" Id="rId23"/>
   <Relationship Target="charts/chart2.xml" Type="http://schemas.openxmlformats.org/officeDocument/2006/relationships/chart" Id="rId10"/>
   <Relationship Target="footer3.xml" Type="http://schemas.openxmlformats.org/officeDocument/2006/relationships/footer" Id="rId19"/>
   <Relationship Target="settings.xml" Type="http://schemas.openxmlformats.org/officeDocument/2006/relationships/settings" Id="rId4"/>
   <Relationship Target="charts/chart1.xml" Type="http://schemas.openxmlformats.org/officeDocument/2006/relationships/chart" Id="rId9"/>
   <Relationship Target="header1.xml" Type="http://schemas.openxmlformats.org/officeDocument/2006/relationships/header" Id="rId14"/>
   <Relationship Target="header4.xml" Type="http://schemas.openxmlformats.org/officeDocument/2006/relationships/header" Id="rId22"/>
   <Relationship Target="theme/theme1.xml" Type="http://schemas.openxmlformats.org/officeDocument/2006/relationships/theme" Id="rId27"/>
</Relationships>

</file>

<file path=word/_rels/footer4.xml.rels><?xml version="1.0" encoding="UTF-8"?>
<Relationships xmlns="http://schemas.openxmlformats.org/package/2006/relationships">
   <Relationship TargetMode="External" Target="http://www.crimestatistics.vic.gov.au" Type="http://schemas.openxmlformats.org/officeDocument/2006/relationships/hyperlink" Id="rId2"/>
   <Relationship TargetMode="External" Target="mailto:info@crimestatistics.vic.gov.au" Type="http://schemas.openxmlformats.org/officeDocument/2006/relationships/hyperlink" Id="rId1"/>
</Relationships>

</file>

<file path=word/_rels/header3.xml.rels><?xml version="1.0" encoding="UTF-8"?>
<Relationships xmlns="http://schemas.openxmlformats.org/package/2006/relationships">
   <Relationship Target="media/image2.png" Type="http://schemas.openxmlformats.org/officeDocument/2006/relationships/image" Id="rId1"/>
</Relationships>

</file>

<file path=word/charts/_rels/chart1.xml.rels><?xml version="1.0" encoding="UTF-8"?>
<Relationships xmlns="http://schemas.openxmlformats.org/package/2006/relationships">
   <Relationship TargetMode="External" Target="file:///\\csalog01\SASDepot\Research%20and%20Evaluation\drug%20analysis\20150707_Drug%20report%20graphs%20for%20brief%20report.xlsx" Type="http://schemas.openxmlformats.org/officeDocument/2006/relationships/oleObject" Id="rId2"/>
   <Relationship Target="../theme/themeOverride1.xml" Type="http://schemas.openxmlformats.org/officeDocument/2006/relationships/themeOverride" Id="rId1"/>
</Relationships>

</file>

<file path=word/charts/_rels/chart2.xml.rels><?xml version="1.0" encoding="UTF-8"?>
<Relationships xmlns="http://schemas.openxmlformats.org/package/2006/relationships">
   <Relationship Target="../embeddings/Microsoft_Excel_Worksheet1.xlsx" Type="http://schemas.openxmlformats.org/officeDocument/2006/relationships/package" Id="rId2"/>
   <Relationship Target="../theme/themeOverride2.xml" Type="http://schemas.openxmlformats.org/officeDocument/2006/relationships/themeOverride" Id="rId1"/>
</Relationships>

</file>

<file path=word/charts/_rels/chart3.xml.rels><?xml version="1.0" encoding="UTF-8"?>
<Relationships xmlns="http://schemas.openxmlformats.org/package/2006/relationships">
   <Relationship TargetMode="External" Target="file:///\\165.142.159.14\SASDepot\Research%20and%20Evaluation\Drugs\old%20drug%20analysis\20150707_Drug%20report%20graphs%20for%20brief%20report.xlsx" Type="http://schemas.openxmlformats.org/officeDocument/2006/relationships/oleObject" Id="rId2"/>
   <Relationship Target="../theme/themeOverride3.xml" Type="http://schemas.openxmlformats.org/officeDocument/2006/relationships/themeOverride" Id="rId1"/>
</Relationships>

</file>

<file path=word/charts/_rels/chart4.xml.rels><?xml version="1.0" encoding="UTF-8"?>
<Relationships xmlns="http://schemas.openxmlformats.org/package/2006/relationships">
   <Relationship TargetMode="External" Target="file:///\\165.142.159.14\SASDepot\Research%20and%20Evaluation\drug%20analysis\in_brief1_SASoutput.xlsx" Type="http://schemas.openxmlformats.org/officeDocument/2006/relationships/oleObject" Id="rId2"/>
   <Relationship Target="../theme/themeOverride4.xml" Type="http://schemas.openxmlformats.org/officeDocument/2006/relationships/themeOverride" Id="rId1"/>
</Relationships>

</file>

<file path=word/charts/_rels/chart5.xml.rels><?xml version="1.0" encoding="UTF-8"?>
<Relationships xmlns="http://schemas.openxmlformats.org/package/2006/relationships">
   <Relationship TargetMode="External" Target="file:///\\165.142.159.14\SASDepot\Research%20and%20Evaluation\old%20drug%20analysis\20150707_Drug%20report%20graphs%20for%20brief%20report.xlsx" Type="http://schemas.openxmlformats.org/officeDocument/2006/relationships/oleObject" Id="rId2"/>
   <Relationship Target="../theme/themeOverride5.xml" Type="http://schemas.openxmlformats.org/officeDocument/2006/relationships/themeOverride" Id="rId1"/>
</Relationships>

</file>

<file path=word/charts/chart1.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manualLayout>
          <c:layoutTarget val="inner"/>
          <c:xMode val="edge"/>
          <c:yMode val="edge"/>
          <c:x val="0.134549027525406"/>
          <c:y val="0.024562236982947"/>
          <c:w val="0.854054961078583"/>
          <c:h val="0.681491224211499"/>
        </c:manualLayout>
      </c:layout>
      <c:lineChart>
        <c:grouping val="standard"/>
        <c:varyColors val="false"/>
        <c:ser>
          <c:idx val="0"/>
          <c:order val="0"/>
          <c:tx>
            <c:strRef>
              <c:f>'total rate x year'!$P$7</c:f>
              <c:strCache>
                <c:ptCount val="1"/>
                <c:pt idx="0">
                  <c:v>Rate of offences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a:solidFill>
                <a:srgbClr val="881E76"/>
              </a:solidFill>
            </a:ln>
          </c:spPr>
          <c:marker>
            <c:symbol val="none"/>
          </c:marker>
          <c:cat>
            <c:numRef>
              <c:f>'total rate x year'!$Q$6:$Z$6</c:f>
              <c:numCache>
                <c:formatCode>@</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'total rate x year'!$Q$7:$Z$7</c:f>
              <c:numCache>
                <c:formatCode>0.00</c:formatCode>
                <c:ptCount val="10"/>
                <c:pt idx="0">
                  <c:v>191.0509123021796</c:v>
                </c:pt>
                <c:pt idx="1">
                  <c:v>187.16661009320589</c:v>
                </c:pt>
                <c:pt idx="2">
                  <c:v>195.4585621250865</c:v>
                </c:pt>
                <c:pt idx="3">
                  <c:v>203.39112030629479</c:v>
                </c:pt>
                <c:pt idx="4">
                  <c:v>195.01356494700039</c:v>
                </c:pt>
                <c:pt idx="5">
                  <c:v>190.78570420140551</c:v>
                </c:pt>
                <c:pt idx="6">
                  <c:v>219.79780119133579</c:v>
                </c:pt>
                <c:pt idx="7">
                  <c:v>263.11486455176998</c:v>
                </c:pt>
                <c:pt idx="8">
                  <c:v>296.23329143277402</c:v>
                </c:pt>
                <c:pt idx="9">
                  <c:v>323.31524545990032</c:v>
                </c:pt>
              </c:numCache>
            </c:numRef>
          </c:val>
          <c:smooth val="false"/>
        </c:ser>
        <c:ser>
          <c:idx val="1"/>
          <c:order val="1"/>
          <c:tx>
            <c:strRef>
              <c:f>'total rate x year'!$P$8</c:f>
              <c:strCache>
                <c:ptCount val="1"/>
                <c:pt idx="0">
                  <c:v>Rate of unique offenders </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a:solidFill>
                <a:srgbClr val="C5C6C6"/>
              </a:solidFill>
            </a:ln>
          </c:spPr>
          <c:marker>
            <c:symbol val="none"/>
          </c:marker>
          <c:cat>
            <c:numRef>
              <c:f>'total rate x year'!$Q$6:$Z$6</c:f>
              <c:numCache>
                <c:formatCode>@</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'total rate x year'!$Q$8:$Z$8</c:f>
              <c:numCache>
                <c:formatCode>0.00</c:formatCode>
                <c:ptCount val="10"/>
                <c:pt idx="0">
                  <c:v>145.312538207176</c:v>
                </c:pt>
                <c:pt idx="1">
                  <c:v>141.13069733936129</c:v>
                </c:pt>
                <c:pt idx="2">
                  <c:v>146.90923993338919</c:v>
                </c:pt>
                <c:pt idx="3">
                  <c:v>149.6849064231528</c:v>
                </c:pt>
                <c:pt idx="4">
                  <c:v>151.8633698775898</c:v>
                </c:pt>
                <c:pt idx="5">
                  <c:v>147.03994670671719</c:v>
                </c:pt>
                <c:pt idx="6">
                  <c:v>163.65654553048611</c:v>
                </c:pt>
                <c:pt idx="7">
                  <c:v>187.21634593106711</c:v>
                </c:pt>
                <c:pt idx="8">
                  <c:v>204.53331617555131</c:v>
                </c:pt>
                <c:pt idx="9">
                  <c:v>215.41796203035881</c:v>
                </c:pt>
              </c:numCache>
            </c:numRef>
          </c:val>
          <c:smooth val="false"/>
        </c:ser>
        <c:dLbls>
          <c:showLegendKey val="false"/>
          <c:showVal val="false"/>
          <c:showCatName val="false"/>
          <c:showSerName val="false"/>
          <c:showPercent val="false"/>
          <c:showBubbleSize val="false"/>
        </c:dLbls>
        <c:smooth val="false"/>
        <c:axId val="866197328"/>
        <c:axId val="866209296"/>
      </c:lineChart>
      <c:catAx>
        <c:axId val="866197328"/>
        <c:scaling>
          <c:orientation val="minMax"/>
        </c:scaling>
        <c:delete val="false"/>
        <c:axPos val="b"/>
        <c:title>
          <c:tx>
            <c:rich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pPr>
                <a:r>
                  <a:rPr lang="en-US"/>
                  <a:t>Year</a:t>
                </a:r>
              </a:p>
            </c:rich>
          </c:tx>
          <c:layout/>
          <c:overlay val="false"/>
        </c:title>
        <c:numFmt formatCode="@" sourceLinked="true"/>
        <c:majorTickMark val="none"/>
        <c:minorTickMark val="none"/>
        <c:tickLblPos val="nextTo"/>
        <c:crossAx val="866209296"/>
        <c:crosses val="autoZero"/>
        <c:auto val="true"/>
        <c:lblAlgn val="ctr"/>
        <c:lblOffset val="100"/>
        <c:noMultiLvlLbl val="false"/>
      </c:catAx>
      <c:valAx>
        <c:axId val="866209296"/>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a:solidFill>
                <a:schemeClr val="bg1">
                  <a:lumMod val="85000"/>
                </a:schemeClr>
              </a:solidFill>
            </a:ln>
          </c:spPr>
        </c:majorGridlines>
        <c:title>
          <c:tx>
            <c:rich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pPr>
                <a:r>
                  <a:rPr lang="en-US"/>
                  <a:t>Rate per 100,000 population</a:t>
                </a:r>
              </a:p>
            </c:rich>
          </c:tx>
          <c:layout/>
          <c:overlay val="false"/>
        </c:title>
        <c:numFmt formatCode="0" sourceLinked="fals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a:noFill/>
          </a:ln>
        </c:spPr>
        <c:crossAx val="866197328"/>
        <c:crosses val="autoZero"/>
        <c:crossBetween val="between"/>
      </c:valAx>
    </c:plotArea>
    <c:legend>
      <c:legendPos val="b"/>
      <c:layout/>
      <c:overlay val="false"/>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a:noFill/>
    </a:ln>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latin typeface="Roboto Condensed Light" pitchFamily="2" charset="0"/>
          <a:ea typeface="Roboto Condensed Light" pitchFamily="2" charset="0"/>
        </a:defRPr>
      </a:pPr>
      <a:endParaRPr lang="en-US"/>
    </a:p>
  </c:txPr>
  <c:externalData r:id="rId2">
    <c:autoUpdate val="false"/>
  </c:externalData>
</c:chartSpace>
</file>

<file path=word/charts/chart2.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lineChart>
        <c:grouping val="standard"/>
        <c:varyColors val="false"/>
        <c:ser>
          <c:idx val="0"/>
          <c:order val="0"/>
          <c:tx>
            <c:strRef>
              <c:f>'total offences per person'!$D$78</c:f>
              <c:strCache>
                <c:ptCount val="1"/>
                <c:pt idx="0">
                  <c:v>New offenders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a:solidFill>
                <a:srgbClr val="881E76"/>
              </a:solidFill>
            </a:ln>
          </c:spPr>
          <c:marker>
            <c:symbol val="none"/>
          </c:marker>
          <c:cat>
            <c:numRef>
              <c:f>'total offences per person'!$E$77:$M$77</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'total offences per person'!$E$78:$M$78</c:f>
              <c:numCache>
                <c:formatCode>General</c:formatCode>
                <c:ptCount val="9"/>
                <c:pt idx="0">
                  <c:v>126.49205912075691</c:v>
                </c:pt>
                <c:pt idx="1">
                  <c:v>121.5506159921253</c:v>
                </c:pt>
                <c:pt idx="2">
                  <c:v>116.91033821142121</c:v>
                </c:pt>
                <c:pt idx="3">
                  <c:v>114.8700387624551</c:v>
                </c:pt>
                <c:pt idx="4">
                  <c:v>106.92610892092119</c:v>
                </c:pt>
                <c:pt idx="5">
                  <c:v>114.6288999232939</c:v>
                </c:pt>
                <c:pt idx="6">
                  <c:v>125.9521576823503</c:v>
                </c:pt>
                <c:pt idx="7">
                  <c:v>135.1437482434597</c:v>
                </c:pt>
                <c:pt idx="8">
                  <c:v>136.75658983502549</c:v>
                </c:pt>
              </c:numCache>
            </c:numRef>
          </c:val>
          <c:smooth val="false"/>
        </c:ser>
        <c:ser>
          <c:idx val="1"/>
          <c:order val="1"/>
          <c:tx>
            <c:strRef>
              <c:f>'total offences per person'!$D$79</c:f>
              <c:strCache>
                <c:ptCount val="1"/>
                <c:pt idx="0">
                  <c:v>Existing offenders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a:solidFill>
                <a:srgbClr val="C5C6C6"/>
              </a:solidFill>
            </a:ln>
          </c:spPr>
          <c:marker>
            <c:symbol val="none"/>
          </c:marker>
          <c:cat>
            <c:numRef>
              <c:f>'total offences per person'!$E$77:$M$77</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'total offences per person'!$E$79:$M$79</c:f>
              <c:numCache>
                <c:formatCode>General</c:formatCode>
                <c:ptCount val="9"/>
                <c:pt idx="0">
                  <c:v>16.675866453568339</c:v>
                </c:pt>
                <c:pt idx="1">
                  <c:v>28.036463604165441</c:v>
                </c:pt>
                <c:pt idx="2">
                  <c:v>35.761950759111933</c:v>
                </c:pt>
                <c:pt idx="3">
                  <c:v>40.331977836436707</c:v>
                </c:pt>
                <c:pt idx="4">
                  <c:v>42.554506440324843</c:v>
                </c:pt>
                <c:pt idx="5">
                  <c:v>51.326646403353443</c:v>
                </c:pt>
                <c:pt idx="6">
                  <c:v>64.465835544944852</c:v>
                </c:pt>
                <c:pt idx="7">
                  <c:v>73.111134428082906</c:v>
                </c:pt>
                <c:pt idx="8">
                  <c:v>82.667728217245411</c:v>
                </c:pt>
              </c:numCache>
            </c:numRef>
          </c:val>
          <c:smooth val="false"/>
        </c:ser>
        <c:dLbls>
          <c:showLegendKey val="false"/>
          <c:showVal val="false"/>
          <c:showCatName val="false"/>
          <c:showSerName val="false"/>
          <c:showPercent val="false"/>
          <c:showBubbleSize val="false"/>
        </c:dLbls>
        <c:smooth val="false"/>
        <c:axId val="866214736"/>
        <c:axId val="866198960"/>
      </c:lineChart>
      <c:catAx>
        <c:axId val="866214736"/>
        <c:scaling>
          <c:orientation val="minMax"/>
        </c:scaling>
        <c:delete val="false"/>
        <c:axPos val="b"/>
        <c:title>
          <c:tx>
            <c:rich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pPr>
                <a:r>
                  <a:rPr lang="en-US"/>
                  <a:t>Year</a:t>
                </a:r>
              </a:p>
            </c:rich>
          </c:tx>
          <c:layout/>
          <c:overlay val="false"/>
        </c:title>
        <c:numFmt formatCode="General" sourceLinked="true"/>
        <c:majorTickMark val="none"/>
        <c:minorTickMark val="none"/>
        <c:tickLblPos val="nextTo"/>
        <c:crossAx val="866198960"/>
        <c:crosses val="autoZero"/>
        <c:auto val="true"/>
        <c:lblAlgn val="ctr"/>
        <c:lblOffset val="100"/>
        <c:noMultiLvlLbl val="false"/>
      </c:catAx>
      <c:valAx>
        <c:axId val="866198960"/>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a:solidFill>
                <a:schemeClr val="bg1">
                  <a:lumMod val="85000"/>
                </a:schemeClr>
              </a:solidFill>
            </a:ln>
          </c:spPr>
        </c:majorGridlines>
        <c:title>
          <c:tx>
            <c:rich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pPr>
                <a:r>
                  <a:rPr lang="en-US"/>
                  <a:t>Rate per 100,000 population</a:t>
                </a:r>
              </a:p>
            </c:rich>
          </c:tx>
          <c:layout/>
          <c:overlay val="false"/>
        </c:title>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a:noFill/>
          </a:ln>
        </c:spPr>
        <c:crossAx val="866214736"/>
        <c:crosses val="autoZero"/>
        <c:crossBetween val="between"/>
      </c:valAx>
    </c:plotArea>
    <c:legend>
      <c:legendPos val="b"/>
      <c:layout/>
      <c:overlay val="false"/>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a:noFill/>
    </a:ln>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latin typeface="Roboto Condensed Light" pitchFamily="2" charset="0"/>
          <a:ea typeface="Roboto Condensed Light" pitchFamily="2" charset="0"/>
        </a:defRPr>
      </a:pPr>
      <a:endParaRPr lang="en-US"/>
    </a:p>
  </c:txPr>
  <c:externalData r:id="rId2">
    <c:autoUpdate val="false"/>
  </c:externalData>
</c:chartSpace>
</file>

<file path=word/charts/chart3.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false"/>
    <c:plotArea>
      <c:layout/>
      <c:barChart>
        <c:barDir val="col"/>
        <c:grouping val="percentStacked"/>
        <c:varyColors val="false"/>
        <c:ser>
          <c:idx val="0"/>
          <c:order val="0"/>
          <c:tx>
            <c:strRef>
              <c:f>'[20150707_Drug report graphs for brief report.xlsx]total rate x year'!$F$73</c:f>
              <c:strCache>
                <c:ptCount val="1"/>
                <c:pt idx="0">
                  <c:v>1 offence incident</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881E76"/>
            </a:solidFill>
          </c:spPr>
          <c:invertIfNegative val="false"/>
          <c:cat>
            <c:numRef>
              <c:f>'[20150707_Drug report graphs for brief report.xlsx]total rate x year'!$G$72:$P$72</c:f>
              <c:numCache>
                <c:formatCode>@</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'[20150707_Drug report graphs for brief report.xlsx]total rate x year'!$G$73:$P$73</c:f>
              <c:numCache>
                <c:formatCode>General</c:formatCode>
                <c:ptCount val="10"/>
                <c:pt idx="0">
                  <c:v>6600</c:v>
                </c:pt>
                <c:pt idx="1">
                  <c:v>6493</c:v>
                </c:pt>
                <c:pt idx="2">
                  <c:v>6784</c:v>
                </c:pt>
                <c:pt idx="3">
                  <c:v>6984</c:v>
                </c:pt>
                <c:pt idx="4">
                  <c:v>7389</c:v>
                </c:pt>
                <c:pt idx="5">
                  <c:v>7205</c:v>
                </c:pt>
                <c:pt idx="6">
                  <c:v>8063</c:v>
                </c:pt>
                <c:pt idx="7">
                  <c:v>9131</c:v>
                </c:pt>
                <c:pt idx="8">
                  <c:v>10050</c:v>
                </c:pt>
                <c:pt idx="9">
                  <c:v>10669</c:v>
                </c:pt>
              </c:numCache>
            </c:numRef>
          </c:val>
        </c:ser>
        <c:ser>
          <c:idx val="1"/>
          <c:order val="1"/>
          <c:tx>
            <c:strRef>
              <c:f>'[20150707_Drug report graphs for brief report.xlsx]total rate x year'!$F$74</c:f>
              <c:strCache>
                <c:ptCount val="1"/>
                <c:pt idx="0">
                  <c:v>2 offence incidents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C5C6C6"/>
            </a:solidFill>
          </c:spPr>
          <c:invertIfNegative val="false"/>
          <c:cat>
            <c:numRef>
              <c:f>'[20150707_Drug report graphs for brief report.xlsx]total rate x year'!$G$72:$P$72</c:f>
              <c:numCache>
                <c:formatCode>@</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'[20150707_Drug report graphs for brief report.xlsx]total rate x year'!$G$74:$P$74</c:f>
              <c:numCache>
                <c:formatCode>General</c:formatCode>
                <c:ptCount val="10"/>
                <c:pt idx="0">
                  <c:v>567</c:v>
                </c:pt>
                <c:pt idx="1">
                  <c:v>485</c:v>
                </c:pt>
                <c:pt idx="2">
                  <c:v>605</c:v>
                </c:pt>
                <c:pt idx="3">
                  <c:v>659</c:v>
                </c:pt>
                <c:pt idx="4">
                  <c:v>581</c:v>
                </c:pt>
                <c:pt idx="5">
                  <c:v>627</c:v>
                </c:pt>
                <c:pt idx="6">
                  <c:v>753</c:v>
                </c:pt>
                <c:pt idx="7">
                  <c:v>1047</c:v>
                </c:pt>
                <c:pt idx="8">
                  <c:v>1245</c:v>
                </c:pt>
                <c:pt idx="9">
                  <c:v>1414</c:v>
                </c:pt>
              </c:numCache>
            </c:numRef>
          </c:val>
        </c:ser>
        <c:ser>
          <c:idx val="2"/>
          <c:order val="2"/>
          <c:tx>
            <c:strRef>
              <c:f>'[20150707_Drug report graphs for brief report.xlsx]total rate x year'!$F$75</c:f>
              <c:strCache>
                <c:ptCount val="1"/>
                <c:pt idx="0">
                  <c:v>3 offence incidents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C5DCE0"/>
            </a:solidFill>
          </c:spPr>
          <c:invertIfNegative val="false"/>
          <c:cat>
            <c:numRef>
              <c:f>'[20150707_Drug report graphs for brief report.xlsx]total rate x year'!$G$72:$P$72</c:f>
              <c:numCache>
                <c:formatCode>@</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'[20150707_Drug report graphs for brief report.xlsx]total rate x year'!$G$75:$P$75</c:f>
              <c:numCache>
                <c:formatCode>General</c:formatCode>
                <c:ptCount val="10"/>
                <c:pt idx="0">
                  <c:v>64</c:v>
                </c:pt>
                <c:pt idx="1">
                  <c:v>84</c:v>
                </c:pt>
                <c:pt idx="2">
                  <c:v>82</c:v>
                </c:pt>
                <c:pt idx="3">
                  <c:v>116</c:v>
                </c:pt>
                <c:pt idx="4">
                  <c:v>85</c:v>
                </c:pt>
                <c:pt idx="5">
                  <c:v>100</c:v>
                </c:pt>
                <c:pt idx="6">
                  <c:v>132</c:v>
                </c:pt>
                <c:pt idx="7">
                  <c:v>197</c:v>
                </c:pt>
                <c:pt idx="8">
                  <c:v>238</c:v>
                </c:pt>
                <c:pt idx="9">
                  <c:v>289</c:v>
                </c:pt>
              </c:numCache>
            </c:numRef>
          </c:val>
        </c:ser>
        <c:ser>
          <c:idx val="3"/>
          <c:order val="3"/>
          <c:tx>
            <c:strRef>
              <c:f>'[20150707_Drug report graphs for brief report.xlsx]total rate x year'!$F$76</c:f>
              <c:strCache>
                <c:ptCount val="1"/>
                <c:pt idx="0">
                  <c:v>4 or more offence incidents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c:spPr>
          <c:invertIfNegative val="false"/>
          <c:cat>
            <c:numRef>
              <c:f>'[20150707_Drug report graphs for brief report.xlsx]total rate x year'!$G$72:$P$72</c:f>
              <c:numCache>
                <c:formatCode>@</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'[20150707_Drug report graphs for brief report.xlsx]total rate x year'!$G$76:$P$76</c:f>
              <c:numCache>
                <c:formatCode>General</c:formatCode>
                <c:ptCount val="10"/>
                <c:pt idx="0">
                  <c:v>19</c:v>
                </c:pt>
                <c:pt idx="1">
                  <c:v>13</c:v>
                </c:pt>
                <c:pt idx="2">
                  <c:v>23</c:v>
                </c:pt>
                <c:pt idx="3">
                  <c:v>23</c:v>
                </c:pt>
                <c:pt idx="4">
                  <c:v>18</c:v>
                </c:pt>
                <c:pt idx="5">
                  <c:v>23</c:v>
                </c:pt>
                <c:pt idx="6">
                  <c:v>36</c:v>
                </c:pt>
                <c:pt idx="7">
                  <c:v>66</c:v>
                </c:pt>
                <c:pt idx="8">
                  <c:v>100</c:v>
                </c:pt>
                <c:pt idx="9">
                  <c:v>111</c:v>
                </c:pt>
              </c:numCache>
            </c:numRef>
          </c:val>
        </c:ser>
        <c:dLbls>
          <c:showLegendKey val="false"/>
          <c:showVal val="false"/>
          <c:showCatName val="false"/>
          <c:showSerName val="false"/>
          <c:showPercent val="false"/>
          <c:showBubbleSize val="false"/>
        </c:dLbls>
        <c:gapWidth val="150"/>
        <c:overlap val="100"/>
        <c:axId val="866220720"/>
        <c:axId val="866224528"/>
      </c:barChart>
      <c:catAx>
        <c:axId val="866220720"/>
        <c:scaling>
          <c:orientation val="minMax"/>
        </c:scaling>
        <c:delete val="false"/>
        <c:axPos val="b"/>
        <c:title>
          <c:tx>
            <c:rich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pPr>
                <a:r>
                  <a:rPr lang="en-US"/>
                  <a:t>Year</a:t>
                </a:r>
              </a:p>
            </c:rich>
          </c:tx>
          <c:layout/>
          <c:overlay val="false"/>
        </c:title>
        <c:numFmt formatCode="@" sourceLinked="true"/>
        <c:majorTickMark val="out"/>
        <c:minorTickMark val="none"/>
        <c:tickLblPos val="nextTo"/>
        <c:crossAx val="866224528"/>
        <c:crosses val="autoZero"/>
        <c:auto val="true"/>
        <c:lblAlgn val="ctr"/>
        <c:lblOffset val="100"/>
        <c:noMultiLvlLbl val="false"/>
      </c:catAx>
      <c:valAx>
        <c:axId val="866224528"/>
        <c:scaling>
          <c:orientation val="minMax"/>
          <c:min val="0.0"/>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a:solidFill>
                <a:schemeClr val="bg1">
                  <a:lumMod val="85000"/>
                </a:schemeClr>
              </a:solidFill>
            </a:ln>
          </c:spPr>
        </c:majorGridlines>
        <c:title>
          <c:tx>
            <c:rich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pPr>
                <a:r>
                  <a:rPr lang="en-US"/>
                  <a:t>Proportion of offenders</a:t>
                </a:r>
              </a:p>
            </c:rich>
          </c:tx>
          <c:layout/>
          <c:overlay val="false"/>
        </c:title>
        <c:numFmt formatCode="0%" sourceLinked="true"/>
        <c:majorTickMark val="out"/>
        <c:minorTickMark val="none"/>
        <c:tickLblPos val="nextTo"/>
        <c:crossAx val="866220720"/>
        <c:crosses val="autoZero"/>
        <c:crossBetween val="between"/>
      </c:valAx>
    </c:plotArea>
    <c:legend>
      <c:legendPos val="b"/>
      <c:layout/>
      <c:overlay val="false"/>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a:noFill/>
    </a:ln>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latin typeface="Roboto Condensed Light" pitchFamily="2" charset="0"/>
          <a:ea typeface="Roboto Condensed Light" pitchFamily="2" charset="0"/>
        </a:defRPr>
      </a:pPr>
      <a:endParaRPr lang="en-US"/>
    </a:p>
  </c:txPr>
  <c:externalData r:id="rId2">
    <c:autoUpdate val="false"/>
  </c:externalData>
</c:chartSpace>
</file>

<file path=word/charts/chart4.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false"/>
    <c:plotArea>
      <c:layout/>
      <c:barChart>
        <c:barDir val="col"/>
        <c:grouping val="percentStacked"/>
        <c:varyColors val="false"/>
        <c:ser>
          <c:idx val="0"/>
          <c:order val="0"/>
          <c:tx>
            <c:strRef>
              <c:f>[in_brief1_SASoutput.xlsx]result.srx!$K$33</c:f>
              <c:strCache>
                <c:ptCount val="1"/>
                <c:pt idx="0">
                  <c:v>10 to 14</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881E76"/>
            </a:solidFill>
          </c:spPr>
          <c:invertIfNegative val="false"/>
          <c:cat>
            <c:numRef>
              <c:f>[in_brief1_SASoutput.xlsx]result.srx!$L$32:$U$32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[in_brief1_SASoutput.xlsx]result.srx!$L$33:$U$33</c:f>
              <c:numCache>
                <c:formatCode>General</c:formatCode>
                <c:ptCount val="10"/>
                <c:pt idx="0">
                  <c:v>50</c:v>
                </c:pt>
                <c:pt idx="1">
                  <c:v>50</c:v>
                </c:pt>
                <c:pt idx="2">
                  <c:v>47</c:v>
                </c:pt>
                <c:pt idx="3">
                  <c:v>39</c:v>
                </c:pt>
                <c:pt idx="4">
                  <c:v>56</c:v>
                </c:pt>
                <c:pt idx="5">
                  <c:v>50</c:v>
                </c:pt>
                <c:pt idx="6">
                  <c:v>44</c:v>
                </c:pt>
                <c:pt idx="7">
                  <c:v>76</c:v>
                </c:pt>
                <c:pt idx="8">
                  <c:v>73</c:v>
                </c:pt>
                <c:pt idx="9">
                  <c:v>51</c:v>
                </c:pt>
              </c:numCache>
            </c:numRef>
          </c:val>
        </c:ser>
        <c:ser>
          <c:idx val="1"/>
          <c:order val="1"/>
          <c:tx>
            <c:strRef>
              <c:f>[in_brief1_SASoutput.xlsx]result.srx!$K$34</c:f>
              <c:strCache>
                <c:ptCount val="1"/>
                <c:pt idx="0">
                  <c:v>15 to 19</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C5C6C6"/>
            </a:solidFill>
          </c:spPr>
          <c:invertIfNegative val="false"/>
          <c:cat>
            <c:numRef>
              <c:f>[in_brief1_SASoutput.xlsx]result.srx!$L$32:$U$32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[in_brief1_SASoutput.xlsx]result.srx!$L$34:$U$34</c:f>
              <c:numCache>
                <c:formatCode>General</c:formatCode>
                <c:ptCount val="10"/>
                <c:pt idx="0">
                  <c:v>1088</c:v>
                </c:pt>
                <c:pt idx="1">
                  <c:v>971</c:v>
                </c:pt>
                <c:pt idx="2">
                  <c:v>973</c:v>
                </c:pt>
                <c:pt idx="3">
                  <c:v>1016</c:v>
                </c:pt>
                <c:pt idx="4">
                  <c:v>1191</c:v>
                </c:pt>
                <c:pt idx="5">
                  <c:v>1246</c:v>
                </c:pt>
                <c:pt idx="6">
                  <c:v>1310</c:v>
                </c:pt>
                <c:pt idx="7">
                  <c:v>1391</c:v>
                </c:pt>
                <c:pt idx="8">
                  <c:v>1518</c:v>
                </c:pt>
                <c:pt idx="9">
                  <c:v>1650</c:v>
                </c:pt>
              </c:numCache>
            </c:numRef>
          </c:val>
        </c:ser>
        <c:ser>
          <c:idx val="2"/>
          <c:order val="2"/>
          <c:tx>
            <c:strRef>
              <c:f>[in_brief1_SASoutput.xlsx]result.srx!$K$35</c:f>
              <c:strCache>
                <c:ptCount val="1"/>
                <c:pt idx="0">
                  <c:v>20 to 24</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C5DCE0"/>
            </a:solidFill>
          </c:spPr>
          <c:invertIfNegative val="false"/>
          <c:cat>
            <c:numRef>
              <c:f>[in_brief1_SASoutput.xlsx]result.srx!$L$32:$U$32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[in_brief1_SASoutput.xlsx]result.srx!$L$35:$U$35</c:f>
              <c:numCache>
                <c:formatCode>General</c:formatCode>
                <c:ptCount val="10"/>
                <c:pt idx="0">
                  <c:v>2029</c:v>
                </c:pt>
                <c:pt idx="1">
                  <c:v>1886</c:v>
                </c:pt>
                <c:pt idx="2">
                  <c:v>2013</c:v>
                </c:pt>
                <c:pt idx="3">
                  <c:v>1987</c:v>
                </c:pt>
                <c:pt idx="4">
                  <c:v>2035</c:v>
                </c:pt>
                <c:pt idx="5">
                  <c:v>2001</c:v>
                </c:pt>
                <c:pt idx="6">
                  <c:v>2401</c:v>
                </c:pt>
                <c:pt idx="7">
                  <c:v>2730</c:v>
                </c:pt>
                <c:pt idx="8">
                  <c:v>3136</c:v>
                </c:pt>
                <c:pt idx="9">
                  <c:v>3184</c:v>
                </c:pt>
              </c:numCache>
            </c:numRef>
          </c:val>
        </c:ser>
        <c:ser>
          <c:idx val="3"/>
          <c:order val="3"/>
          <c:tx>
            <c:strRef>
              <c:f>[in_brief1_SASoutput.xlsx]result.srx!$K$36</c:f>
              <c:strCache>
                <c:ptCount val="1"/>
                <c:pt idx="0">
                  <c:v>25 to 29</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c:spPr>
          <c:invertIfNegative val="false"/>
          <c:cat>
            <c:numRef>
              <c:f>[in_brief1_SASoutput.xlsx]result.srx!$L$32:$U$32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[in_brief1_SASoutput.xlsx]result.srx!$L$36:$U$36</c:f>
              <c:numCache>
                <c:formatCode>General</c:formatCode>
                <c:ptCount val="10"/>
                <c:pt idx="0">
                  <c:v>1340</c:v>
                </c:pt>
                <c:pt idx="1">
                  <c:v>1416</c:v>
                </c:pt>
                <c:pt idx="2">
                  <c:v>1484</c:v>
                </c:pt>
                <c:pt idx="3">
                  <c:v>1560</c:v>
                </c:pt>
                <c:pt idx="4">
                  <c:v>1542</c:v>
                </c:pt>
                <c:pt idx="5">
                  <c:v>1441</c:v>
                </c:pt>
                <c:pt idx="6">
                  <c:v>1615</c:v>
                </c:pt>
                <c:pt idx="7">
                  <c:v>1945</c:v>
                </c:pt>
                <c:pt idx="8">
                  <c:v>2132</c:v>
                </c:pt>
                <c:pt idx="9">
                  <c:v>2333</c:v>
                </c:pt>
              </c:numCache>
            </c:numRef>
          </c:val>
        </c:ser>
        <c:ser>
          <c:idx val="4"/>
          <c:order val="4"/>
          <c:tx>
            <c:strRef>
              <c:f>[in_brief1_SASoutput.xlsx]result.srx!$K$37</c:f>
              <c:strCache>
                <c:ptCount val="1"/>
                <c:pt idx="0">
                  <c:v>30 to 34</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BD8EB9"/>
            </a:solidFill>
          </c:spPr>
          <c:invertIfNegative val="false"/>
          <c:cat>
            <c:numRef>
              <c:f>[in_brief1_SASoutput.xlsx]result.srx!$L$32:$U$32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[in_brief1_SASoutput.xlsx]result.srx!$L$37:$U$37</c:f>
              <c:numCache>
                <c:formatCode>General</c:formatCode>
                <c:ptCount val="10"/>
                <c:pt idx="0">
                  <c:v>1033</c:v>
                </c:pt>
                <c:pt idx="1">
                  <c:v>983</c:v>
                </c:pt>
                <c:pt idx="2">
                  <c:v>1060</c:v>
                </c:pt>
                <c:pt idx="3">
                  <c:v>1169</c:v>
                </c:pt>
                <c:pt idx="4">
                  <c:v>1180</c:v>
                </c:pt>
                <c:pt idx="5">
                  <c:v>1135</c:v>
                </c:pt>
                <c:pt idx="6">
                  <c:v>1265</c:v>
                </c:pt>
                <c:pt idx="7">
                  <c:v>1524</c:v>
                </c:pt>
                <c:pt idx="8">
                  <c:v>1700</c:v>
                </c:pt>
                <c:pt idx="9">
                  <c:v>1832</c:v>
                </c:pt>
              </c:numCache>
            </c:numRef>
          </c:val>
        </c:ser>
        <c:ser>
          <c:idx val="5"/>
          <c:order val="5"/>
          <c:tx>
            <c:strRef>
              <c:f>[in_brief1_SASoutput.xlsx]result.srx!$K$38</c:f>
              <c:strCache>
                <c:ptCount val="1"/>
                <c:pt idx="0">
                  <c:v>35 to 39</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88799"/>
            </a:solidFill>
          </c:spPr>
          <c:invertIfNegative val="false"/>
          <c:cat>
            <c:numRef>
              <c:f>[in_brief1_SASoutput.xlsx]result.srx!$L$32:$U$32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[in_brief1_SASoutput.xlsx]result.srx!$L$38:$U$38</c:f>
              <c:numCache>
                <c:formatCode>General</c:formatCode>
                <c:ptCount val="10"/>
                <c:pt idx="0">
                  <c:v>763</c:v>
                </c:pt>
                <c:pt idx="1">
                  <c:v>804</c:v>
                </c:pt>
                <c:pt idx="2">
                  <c:v>863</c:v>
                </c:pt>
                <c:pt idx="3">
                  <c:v>916</c:v>
                </c:pt>
                <c:pt idx="4">
                  <c:v>866</c:v>
                </c:pt>
                <c:pt idx="5">
                  <c:v>896</c:v>
                </c:pt>
                <c:pt idx="6">
                  <c:v>899</c:v>
                </c:pt>
                <c:pt idx="7">
                  <c:v>1115</c:v>
                </c:pt>
                <c:pt idx="8">
                  <c:v>1208</c:v>
                </c:pt>
                <c:pt idx="9">
                  <c:v>1376</c:v>
                </c:pt>
              </c:numCache>
            </c:numRef>
          </c:val>
        </c:ser>
        <c:ser>
          <c:idx val="6"/>
          <c:order val="6"/>
          <c:tx>
            <c:strRef>
              <c:f>[in_brief1_SASoutput.xlsx]result.srx!$K$39</c:f>
              <c:strCache>
                <c:ptCount val="1"/>
                <c:pt idx="0">
                  <c:v>40 to 44</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490F36"/>
            </a:solidFill>
          </c:spPr>
          <c:invertIfNegative val="false"/>
          <c:cat>
            <c:numRef>
              <c:f>[in_brief1_SASoutput.xlsx]result.srx!$L$32:$U$32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[in_brief1_SASoutput.xlsx]result.srx!$L$39:$U$39</c:f>
              <c:numCache>
                <c:formatCode>General</c:formatCode>
                <c:ptCount val="10"/>
                <c:pt idx="0">
                  <c:v>472</c:v>
                </c:pt>
                <c:pt idx="1">
                  <c:v>512</c:v>
                </c:pt>
                <c:pt idx="2">
                  <c:v>537</c:v>
                </c:pt>
                <c:pt idx="3">
                  <c:v>567</c:v>
                </c:pt>
                <c:pt idx="4">
                  <c:v>610</c:v>
                </c:pt>
                <c:pt idx="5">
                  <c:v>582</c:v>
                </c:pt>
                <c:pt idx="6">
                  <c:v>708</c:v>
                </c:pt>
                <c:pt idx="7">
                  <c:v>827</c:v>
                </c:pt>
                <c:pt idx="8">
                  <c:v>901</c:v>
                </c:pt>
                <c:pt idx="9">
                  <c:v>961</c:v>
                </c:pt>
              </c:numCache>
            </c:numRef>
          </c:val>
        </c:ser>
        <c:ser>
          <c:idx val="7"/>
          <c:order val="7"/>
          <c:tx>
            <c:strRef>
              <c:f>[in_brief1_SASoutput.xlsx]result.srx!$K$40</c:f>
              <c:strCache>
                <c:ptCount val="1"/>
                <c:pt idx="0">
                  <c:v>45 to 49</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966E8C"/>
            </a:solidFill>
          </c:spPr>
          <c:invertIfNegative val="false"/>
          <c:cat>
            <c:numRef>
              <c:f>[in_brief1_SASoutput.xlsx]result.srx!$L$32:$U$32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[in_brief1_SASoutput.xlsx]result.srx!$L$40:$U$40</c:f>
              <c:numCache>
                <c:formatCode>General</c:formatCode>
                <c:ptCount val="10"/>
                <c:pt idx="0">
                  <c:v>261</c:v>
                </c:pt>
                <c:pt idx="1">
                  <c:v>279</c:v>
                </c:pt>
                <c:pt idx="2">
                  <c:v>309</c:v>
                </c:pt>
                <c:pt idx="3">
                  <c:v>319</c:v>
                </c:pt>
                <c:pt idx="4">
                  <c:v>359</c:v>
                </c:pt>
                <c:pt idx="5">
                  <c:v>335</c:v>
                </c:pt>
                <c:pt idx="6">
                  <c:v>426</c:v>
                </c:pt>
                <c:pt idx="7">
                  <c:v>478</c:v>
                </c:pt>
                <c:pt idx="8">
                  <c:v>513</c:v>
                </c:pt>
                <c:pt idx="9">
                  <c:v>580</c:v>
                </c:pt>
              </c:numCache>
            </c:numRef>
          </c:val>
        </c:ser>
        <c:ser>
          <c:idx val="8"/>
          <c:order val="8"/>
          <c:tx>
            <c:strRef>
              <c:f>[in_brief1_SASoutput.xlsx]result.srx!$K$41</c:f>
              <c:strCache>
                <c:ptCount val="1"/>
                <c:pt idx="0">
                  <c:v>50 to 54</c:v>
                </c:pt>
              </c:strCache>
            </c:strRef>
          </c:tx>
          <c:invertIfNegative val="false"/>
          <c:cat>
            <c:numRef>
              <c:f>[in_brief1_SASoutput.xlsx]result.srx!$L$32:$U$32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[in_brief1_SASoutput.xlsx]result.srx!$L$41:$U$41</c:f>
              <c:numCache>
                <c:formatCode>General</c:formatCode>
                <c:ptCount val="10"/>
                <c:pt idx="0">
                  <c:v>112</c:v>
                </c:pt>
                <c:pt idx="1">
                  <c:v>128</c:v>
                </c:pt>
                <c:pt idx="2">
                  <c:v>153</c:v>
                </c:pt>
                <c:pt idx="3">
                  <c:v>165</c:v>
                </c:pt>
                <c:pt idx="4">
                  <c:v>158</c:v>
                </c:pt>
                <c:pt idx="5">
                  <c:v>150</c:v>
                </c:pt>
                <c:pt idx="6">
                  <c:v>199</c:v>
                </c:pt>
                <c:pt idx="7">
                  <c:v>229</c:v>
                </c:pt>
                <c:pt idx="8">
                  <c:v>276</c:v>
                </c:pt>
                <c:pt idx="9">
                  <c:v>298</c:v>
                </c:pt>
              </c:numCache>
            </c:numRef>
          </c:val>
        </c:ser>
        <c:ser>
          <c:idx val="9"/>
          <c:order val="9"/>
          <c:tx>
            <c:strRef>
              <c:f>[in_brief1_SASoutput.xlsx]result.srx!$K$42</c:f>
              <c:strCache>
                <c:ptCount val="1"/>
                <c:pt idx="0">
                  <c:v>55 or older</c:v>
                </c:pt>
              </c:strCache>
            </c:strRef>
          </c:tx>
          <c:invertIfNegative val="false"/>
          <c:cat>
            <c:numRef>
              <c:f>[in_brief1_SASoutput.xlsx]result.srx!$L$32:$U$32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[in_brief1_SASoutput.xlsx]result.srx!$L$42:$U$42</c:f>
              <c:numCache>
                <c:formatCode>General</c:formatCode>
                <c:ptCount val="10"/>
                <c:pt idx="0">
                  <c:v>62</c:v>
                </c:pt>
                <c:pt idx="1">
                  <c:v>67</c:v>
                </c:pt>
                <c:pt idx="2">
                  <c:v>80</c:v>
                </c:pt>
                <c:pt idx="3">
                  <c:v>86</c:v>
                </c:pt>
                <c:pt idx="4">
                  <c:v>107</c:v>
                </c:pt>
                <c:pt idx="5">
                  <c:v>114</c:v>
                </c:pt>
                <c:pt idx="6">
                  <c:v>127</c:v>
                </c:pt>
                <c:pt idx="7">
                  <c:v>152</c:v>
                </c:pt>
                <c:pt idx="8">
                  <c:v>176</c:v>
                </c:pt>
                <c:pt idx="9">
                  <c:v>194</c:v>
                </c:pt>
              </c:numCache>
            </c:numRef>
          </c:val>
        </c:ser>
        <c:dLbls>
          <c:showLegendKey val="false"/>
          <c:showVal val="false"/>
          <c:showCatName val="false"/>
          <c:showSerName val="false"/>
          <c:showPercent val="false"/>
          <c:showBubbleSize val="false"/>
        </c:dLbls>
        <c:gapWidth val="150"/>
        <c:overlap val="100"/>
        <c:axId val="866217456"/>
        <c:axId val="866228336"/>
      </c:barChart>
      <c:catAx>
        <c:axId val="866217456"/>
        <c:scaling>
          <c:orientation val="minMax"/>
        </c:scaling>
        <c:delete val="false"/>
        <c:axPos val="b"/>
        <c:title>
          <c:tx>
            <c:rich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pPr>
                <a:r>
                  <a:rPr lang="en-US"/>
                  <a:t>Year</a:t>
                </a:r>
              </a:p>
            </c:rich>
          </c:tx>
          <c:layout/>
          <c:overlay val="false"/>
        </c:title>
        <c:numFmt formatCode="General" sourceLinked="true"/>
        <c:majorTickMark val="out"/>
        <c:minorTickMark val="none"/>
        <c:tickLblPos val="nextTo"/>
        <c:crossAx val="866228336"/>
        <c:crosses val="autoZero"/>
        <c:auto val="true"/>
        <c:lblAlgn val="ctr"/>
        <c:lblOffset val="100"/>
        <c:noMultiLvlLbl val="false"/>
      </c:catAx>
      <c:valAx>
        <c:axId val="866228336"/>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a:solidFill>
                <a:schemeClr val="bg1">
                  <a:lumMod val="85000"/>
                </a:schemeClr>
              </a:solidFill>
            </a:ln>
          </c:spPr>
        </c:majorGridlines>
        <c:title>
          <c:tx>
            <c:rich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pPr>
                <a:r>
                  <a:rPr lang="en-US"/>
                  <a:t>Proportion of unique offenders</a:t>
                </a:r>
              </a:p>
            </c:rich>
          </c:tx>
          <c:layout/>
          <c:overlay val="false"/>
        </c:title>
        <c:numFmt formatCode="0%" sourceLinked="true"/>
        <c:majorTickMark val="out"/>
        <c:minorTickMark val="none"/>
        <c:tickLblPos val="nextTo"/>
        <c:crossAx val="866217456"/>
        <c:crosses val="autoZero"/>
        <c:crossBetween val="between"/>
      </c:valAx>
    </c:plotArea>
    <c:legend>
      <c:legendPos val="r"/>
      <c:layout/>
      <c:overlay val="false"/>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a:noFill/>
    </a:ln>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latin typeface="Roboto Condensed Light" pitchFamily="2" charset="0"/>
          <a:ea typeface="Roboto Condensed Light" pitchFamily="2" charset="0"/>
        </a:defRPr>
      </a:pPr>
      <a:endParaRPr lang="en-US"/>
    </a:p>
  </c:txPr>
  <c:externalData r:id="rId2">
    <c:autoUpdate val="false"/>
  </c:externalData>
</c:chartSpace>
</file>

<file path=word/charts/chart5.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false"/>
    <c:plotArea>
      <c:layout/>
      <c:barChart>
        <c:barDir val="bar"/>
        <c:grouping val="clustered"/>
        <c:varyColors val="false"/>
        <c:ser>
          <c:idx val="0"/>
          <c:order val="0"/>
          <c:tx>
            <c:strRef>
              <c:f>'[20150707_Drug report graphs for brief report.xlsx]Sheet1'!$C$2</c:f>
              <c:strCache>
                <c:ptCount val="1"/>
                <c:pt idx="0">
                  <c:v>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881E76"/>
            </a:solidFill>
          </c:spPr>
          <c:invertIfNegative val="false"/>
          <c:cat>
            <c:strRef>
              <c:f>'[20150707_Drug report graphs for brief report.xlsx]Sheet1'!$B$3:$B$14</c:f>
              <c:strCache>
                <c:ptCount val="12"/>
                <c:pt idx="0">
                  <c:v>10 to 14</c:v>
                </c:pt>
                <c:pt idx="1">
                  <c:v>15 to 19</c:v>
                </c:pt>
                <c:pt idx="2">
                  <c:v>20 to 24</c:v>
                </c:pt>
                <c:pt idx="3">
                  <c:v>25 to 29</c:v>
                </c:pt>
                <c:pt idx="4">
                  <c:v>30 to 34</c:v>
                </c:pt>
                <c:pt idx="5">
                  <c:v>35 to 39</c:v>
                </c:pt>
                <c:pt idx="6">
                  <c:v>40 to 44</c:v>
                </c:pt>
                <c:pt idx="7">
                  <c:v>45 to 49</c:v>
                </c:pt>
                <c:pt idx="8">
                  <c:v>50 to 54</c:v>
                </c:pt>
                <c:pt idx="9">
                  <c:v>55 to 59</c:v>
                </c:pt>
                <c:pt idx="10">
                  <c:v>60 to 64</c:v>
                </c:pt>
                <c:pt idx="11">
                  <c:v>65 or older</c:v>
                </c:pt>
              </c:strCache>
            </c:strRef>
          </c:cat>
          <c:val>
            <c:numRef>
              <c:f>'[20150707_Drug report graphs for brief report.xlsx]Sheet1'!$C$3:$C$14</c:f>
              <c:numCache>
                <c:formatCode>General</c:formatCode>
                <c:ptCount val="12"/>
                <c:pt idx="0">
                  <c:v>0.8</c:v>
                </c:pt>
                <c:pt idx="1">
                  <c:v>17.100000000000001</c:v>
                </c:pt>
                <c:pt idx="2">
                  <c:v>28.1</c:v>
                </c:pt>
                <c:pt idx="3">
                  <c:v>17.5</c:v>
                </c:pt>
                <c:pt idx="4">
                  <c:v>13</c:v>
                </c:pt>
                <c:pt idx="5">
                  <c:v>9.6</c:v>
                </c:pt>
                <c:pt idx="6">
                  <c:v>6.8</c:v>
                </c:pt>
                <c:pt idx="7">
                  <c:v>3.9</c:v>
                </c:pt>
                <c:pt idx="8">
                  <c:v>2</c:v>
                </c:pt>
                <c:pt idx="9">
                  <c:v>0.9</c:v>
                </c:pt>
                <c:pt idx="10">
                  <c:v>0.3</c:v>
                </c:pt>
                <c:pt idx="11">
                  <c:v>0.2</c:v>
                </c:pt>
              </c:numCache>
            </c:numRef>
          </c:val>
        </c:ser>
        <c:ser>
          <c:idx val="1"/>
          <c:order val="1"/>
          <c:tx>
            <c:strRef>
              <c:f>'[20150707_Drug report graphs for brief report.xlsx]Sheet1'!$D$2</c:f>
              <c:strCache>
                <c:ptCount val="1"/>
                <c:pt idx="0">
                  <c:v>Females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C5C6C6"/>
            </a:solidFill>
          </c:spPr>
          <c:invertIfNegative val="false"/>
          <c:cat>
            <c:strRef>
              <c:f>'[20150707_Drug report graphs for brief report.xlsx]Sheet1'!$B$3:$B$14</c:f>
              <c:strCache>
                <c:ptCount val="12"/>
                <c:pt idx="0">
                  <c:v>10 to 14</c:v>
                </c:pt>
                <c:pt idx="1">
                  <c:v>15 to 19</c:v>
                </c:pt>
                <c:pt idx="2">
                  <c:v>20 to 24</c:v>
                </c:pt>
                <c:pt idx="3">
                  <c:v>25 to 29</c:v>
                </c:pt>
                <c:pt idx="4">
                  <c:v>30 to 34</c:v>
                </c:pt>
                <c:pt idx="5">
                  <c:v>35 to 39</c:v>
                </c:pt>
                <c:pt idx="6">
                  <c:v>40 to 44</c:v>
                </c:pt>
                <c:pt idx="7">
                  <c:v>45 to 49</c:v>
                </c:pt>
                <c:pt idx="8">
                  <c:v>50 to 54</c:v>
                </c:pt>
                <c:pt idx="9">
                  <c:v>55 to 59</c:v>
                </c:pt>
                <c:pt idx="10">
                  <c:v>60 to 64</c:v>
                </c:pt>
                <c:pt idx="11">
                  <c:v>65 or older</c:v>
                </c:pt>
              </c:strCache>
            </c:strRef>
          </c:cat>
          <c:val>
            <c:numRef>
              <c:f>'[20150707_Drug report graphs for brief report.xlsx]Sheet1'!$D$3:$D$14</c:f>
              <c:numCache>
                <c:formatCode>General</c:formatCode>
                <c:ptCount val="12"/>
                <c:pt idx="0">
                  <c:v>1</c:v>
                </c:pt>
                <c:pt idx="1">
                  <c:v>14.9</c:v>
                </c:pt>
                <c:pt idx="2">
                  <c:v>25.2</c:v>
                </c:pt>
                <c:pt idx="3">
                  <c:v>18</c:v>
                </c:pt>
                <c:pt idx="4">
                  <c:v>13.4</c:v>
                </c:pt>
                <c:pt idx="5">
                  <c:v>11.3</c:v>
                </c:pt>
                <c:pt idx="6">
                  <c:v>7.9</c:v>
                </c:pt>
                <c:pt idx="7">
                  <c:v>4.8</c:v>
                </c:pt>
                <c:pt idx="8">
                  <c:v>2.2000000000000002</c:v>
                </c:pt>
                <c:pt idx="9">
                  <c:v>0.9</c:v>
                </c:pt>
                <c:pt idx="10">
                  <c:v>0.3</c:v>
                </c:pt>
                <c:pt idx="11">
                  <c:v>0.2</c:v>
                </c:pt>
              </c:numCache>
            </c:numRef>
          </c:val>
        </c:ser>
        <c:dLbls>
          <c:showLegendKey val="false"/>
          <c:showVal val="false"/>
          <c:showCatName val="false"/>
          <c:showSerName val="false"/>
          <c:showPercent val="false"/>
          <c:showBubbleSize val="false"/>
        </c:dLbls>
        <c:gapWidth val="150"/>
        <c:axId val="866218000"/>
        <c:axId val="866223984"/>
      </c:barChart>
      <c:catAx>
        <c:axId val="866218000"/>
        <c:scaling>
          <c:orientation val="minMax"/>
        </c:scaling>
        <c:delete val="false"/>
        <c:axPos val="l"/>
        <c:title>
          <c:tx>
            <c:rich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pPr>
                <a:r>
                  <a:rPr lang="en-US"/>
                  <a:t>Age</a:t>
                </a:r>
                <a:r>
                  <a:rPr lang="en-US" baseline="0"/>
                  <a:t> group at first offence incident</a:t>
                </a:r>
                <a:endParaRPr lang="en-US"/>
              </a:p>
            </c:rich>
          </c:tx>
          <c:layout/>
          <c:overlay val="false"/>
        </c:title>
        <c:numFmt formatCode="General" sourceLinked="false"/>
        <c:majorTickMark val="out"/>
        <c:minorTickMark val="none"/>
        <c:tickLblPos val="nextTo"/>
        <c:crossAx val="866223984"/>
        <c:crosses val="autoZero"/>
        <c:auto val="true"/>
        <c:lblAlgn val="ctr"/>
        <c:lblOffset val="100"/>
        <c:noMultiLvlLbl val="false"/>
      </c:catAx>
      <c:valAx>
        <c:axId val="866223984"/>
        <c:scaling>
          <c:orientation val="minMax"/>
        </c:scaling>
        <c:delete val="false"/>
        <c:axPos val="b"/>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a:solidFill>
                <a:schemeClr val="bg1">
                  <a:lumMod val="85000"/>
                </a:schemeClr>
              </a:solidFill>
            </a:ln>
          </c:spPr>
        </c:majorGridlines>
        <c:title>
          <c:tx>
            <c:rich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pPr>
                <a:r>
                  <a:rPr lang="en-US"/>
                  <a:t>Proportion of unique</a:t>
                </a:r>
                <a:r>
                  <a:rPr lang="en-US" baseline="0"/>
                  <a:t> offenders</a:t>
                </a:r>
                <a:endParaRPr lang="en-US"/>
              </a:p>
            </c:rich>
          </c:tx>
          <c:layout/>
          <c:overlay val="false"/>
        </c:title>
        <c:numFmt formatCode="General" sourceLinked="true"/>
        <c:majorTickMark val="out"/>
        <c:minorTickMark val="none"/>
        <c:tickLblPos val="nextTo"/>
        <c:crossAx val="866218000"/>
        <c:crosses val="autoZero"/>
        <c:crossBetween val="between"/>
      </c:valAx>
    </c:plotArea>
    <c:legend>
      <c:legendPos val="r"/>
      <c:layout/>
      <c:overlay val="false"/>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a:noFill/>
    </a:ln>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latin typeface="Roboto Condensed Light" pitchFamily="2" charset="0"/>
          <a:ea typeface="Roboto Condensed Light" pitchFamily="2" charset="0"/>
        </a:defRPr>
      </a:pPr>
      <a:endParaRPr lang="en-US"/>
    </a:p>
  </c:txPr>
  <c:externalData r:id="rId2">
    <c:autoUpdate val="false"/>
  </c:externalData>
</c:chartSpace>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81FB4878-F455-4711-8632-479EEFF45337}">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
  <properties:Pages>13</properties:Pages>
  <properties:Words>3904</properties:Words>
  <properties:Characters>22258</properties:Characters>
  <properties:Lines>185</properties:Lines>
  <properties:Paragraphs>52</properties:Paragraphs>
  <properties:TotalTime>1</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26110</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2015-09-17T02:15:00Z</dcterms:created>
  <dc:creator/>
  <dc:description/>
  <cp:keywords/>
  <cp:lastModifiedBy/>
  <cp:lastPrinted>2015-09-01T00:15:00Z</cp:lastPrinted>
  <dcterms:modified xmlns:xsi="http://www.w3.org/2001/XMLSchema-instance" xsi:type="dcterms:W3CDTF">2015-09-20T23:44:00Z</dcterms:modified>
  <cp:revision>3</cp:revision>
  <dc:subject/>
  <dc:title/>
</cp:coreProperties>
</file>